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仿宋" w:eastAsia="方正小标宋简体" w:cs="华文中宋"/>
          <w:b/>
          <w:color w:val="000000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华文中宋"/>
          <w:b/>
          <w:color w:val="000000"/>
          <w:spacing w:val="-20"/>
          <w:sz w:val="44"/>
          <w:szCs w:val="44"/>
        </w:rPr>
        <w:t>开发区·铁山区政府债务管理情况</w:t>
      </w:r>
    </w:p>
    <w:p>
      <w:pPr>
        <w:spacing w:line="540" w:lineRule="exact"/>
        <w:jc w:val="center"/>
        <w:rPr>
          <w:rFonts w:hint="eastAsia" w:ascii="方正小标宋简体" w:hAnsi="仿宋" w:eastAsia="方正小标宋简体" w:cs="华文中宋"/>
          <w:bCs/>
          <w:color w:val="000000"/>
          <w:spacing w:val="-20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年政府债务基本情况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（一）政府债务余额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年我区政府债务限额4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86261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万元），其中一般债务限额1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万元（铁山区域限额2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万元），专项债务限额3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50830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,2023年市级暂未下发新增限额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2023年末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，全区政府债务余额为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871478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万元），其中：一般债务余额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208681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17458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万元），专项债务余额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（二）政府债券资金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年上级下达我区政府债券资金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449602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万元），其中：再融资债券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22万元），新增债券1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22万元）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，特殊再融资债券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238686万元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38818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万元其中：一般债券1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21055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用于借新还旧偿还到期债券本金。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新增债券1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72098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万元）其中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用于学校建设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4808万元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用于中小水库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万元；专项债券1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66276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益民生活小区（汪仁片区二期棚改还建点）棚改项目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3000万元。</w:t>
      </w:r>
    </w:p>
    <w:p>
      <w:p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特殊再融资债券238686万元，其中一般债券91495万元，专项债券147191万元。</w:t>
      </w:r>
    </w:p>
    <w:p>
      <w:pPr>
        <w:numPr>
          <w:ilvl w:val="0"/>
          <w:numId w:val="1"/>
        </w:numPr>
        <w:ind w:firstLine="62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2023年政府债券还本付息情况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2023年到期政府债务本金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44931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到期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政府债务利息1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万元，还本付息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60385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万元。偿还资金纳入财政预算，通过预算安排债务本金支出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债务利息支出1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，通过申报再融资偿还债务本金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38818万元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政府债务偿还资金已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分类纳入一般公共预算和政府性基金预算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并按预算执行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2"/>
          <w:szCs w:val="32"/>
        </w:rPr>
        <w:t>年到期政府债务本息预算安排情况</w:t>
      </w:r>
    </w:p>
    <w:p>
      <w:pPr>
        <w:spacing w:line="540" w:lineRule="exact"/>
        <w:ind w:firstLine="640" w:firstLineChars="200"/>
        <w:rPr>
          <w:rFonts w:hint="eastAsia" w:eastAsia="宋体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</w:rPr>
        <w:t>需偿还政府债务本金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63538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万元，需偿还政府债务利息1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万元，共需还本付息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79862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万元。根据财政部关于债务预算管理的要求，将政府债务的到期偿还资金纳入财政预算，通过预算安排债务本金支出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32297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31500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，预计可通过申报再融资偿还债务本金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31241万元，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30510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万元。通过预算安排债务利息支出163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万元，其中一般债务利息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4628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万元（铁山区域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万元）、专项债务利息1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万元，并分类纳入一般公共预算和政府性基金预算。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F5B85E"/>
    <w:multiLevelType w:val="singleLevel"/>
    <w:tmpl w:val="55F5B85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ZWY3ZjYxNGZhYjJkNzUwMTU3MWZkNzY3OTdhNTgifQ=="/>
  </w:docVars>
  <w:rsids>
    <w:rsidRoot w:val="128A72B6"/>
    <w:rsid w:val="09B01C47"/>
    <w:rsid w:val="0EE05018"/>
    <w:rsid w:val="128A72B6"/>
    <w:rsid w:val="27160EE4"/>
    <w:rsid w:val="2CD07D87"/>
    <w:rsid w:val="2D32459D"/>
    <w:rsid w:val="32807B59"/>
    <w:rsid w:val="343B765F"/>
    <w:rsid w:val="34987B05"/>
    <w:rsid w:val="3A3000B7"/>
    <w:rsid w:val="3FC714BD"/>
    <w:rsid w:val="517F7502"/>
    <w:rsid w:val="53CA4C80"/>
    <w:rsid w:val="546F39F9"/>
    <w:rsid w:val="554973CD"/>
    <w:rsid w:val="6C553829"/>
    <w:rsid w:val="70425E72"/>
    <w:rsid w:val="71892549"/>
    <w:rsid w:val="722978DD"/>
    <w:rsid w:val="7CE81B50"/>
    <w:rsid w:val="7E2C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autoRedefine/>
    <w:qFormat/>
    <w:uiPriority w:val="0"/>
    <w:rPr>
      <w:color w:val="191919"/>
      <w:u w:val="none"/>
    </w:rPr>
  </w:style>
  <w:style w:type="character" w:styleId="7">
    <w:name w:val="Emphasis"/>
    <w:basedOn w:val="4"/>
    <w:autoRedefine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191919"/>
      <w:u w:val="none"/>
    </w:rPr>
  </w:style>
  <w:style w:type="character" w:styleId="11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5">
    <w:name w:val="ui-selectmenu-text"/>
    <w:basedOn w:val="4"/>
    <w:uiPriority w:val="0"/>
  </w:style>
  <w:style w:type="character" w:customStyle="1" w:styleId="16">
    <w:name w:val="hover15"/>
    <w:basedOn w:val="4"/>
    <w:uiPriority w:val="0"/>
    <w:rPr>
      <w:shd w:val="clear" w:fill="EB333B"/>
    </w:rPr>
  </w:style>
  <w:style w:type="character" w:customStyle="1" w:styleId="17">
    <w:name w:val="ui-icon36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2023-12-08T07:23:00Z</dcterms:created>
  <dc:creator>左手倒影，右手年华</dc:creator>
  <cp:lastModifiedBy>Maggie. Y</cp:lastModifiedBy>
  <cp:lastPrinted>2024-01-09T02:45:53Z</cp:lastPrinted>
  <dcterms:modified xsi:type="dcterms:W3CDTF">2024-01-09T03:28:38Z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ADDCBAF181D44C2F957618DDD7FF2BE3_13</vt:lpwstr>
  </property>
</Properties>
</file>