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4EED0">
      <w:pPr>
        <w:spacing w:line="540" w:lineRule="exact"/>
        <w:jc w:val="center"/>
        <w:rPr>
          <w:rFonts w:hint="eastAsia" w:ascii="方正小标宋简体" w:hAnsi="仿宋" w:eastAsia="方正小标宋简体" w:cs="华文中宋"/>
          <w:b/>
          <w:color w:val="000000"/>
          <w:spacing w:val="-20"/>
          <w:sz w:val="44"/>
          <w:szCs w:val="44"/>
        </w:rPr>
      </w:pPr>
      <w:r>
        <w:rPr>
          <w:rFonts w:hint="eastAsia" w:ascii="方正小标宋简体" w:hAnsi="仿宋" w:eastAsia="方正小标宋简体" w:cs="华文中宋"/>
          <w:b/>
          <w:color w:val="000000"/>
          <w:spacing w:val="-20"/>
          <w:sz w:val="44"/>
          <w:szCs w:val="44"/>
        </w:rPr>
        <w:t>开发区·铁山区政府债务管理情况</w:t>
      </w:r>
    </w:p>
    <w:p w14:paraId="663BA89D">
      <w:pPr>
        <w:spacing w:line="540" w:lineRule="exact"/>
        <w:jc w:val="center"/>
        <w:rPr>
          <w:rFonts w:hint="eastAsia" w:ascii="方正小标宋简体" w:hAnsi="仿宋" w:eastAsia="方正小标宋简体" w:cs="华文中宋"/>
          <w:bCs/>
          <w:color w:val="000000"/>
          <w:spacing w:val="-20"/>
          <w:sz w:val="44"/>
          <w:szCs w:val="44"/>
        </w:rPr>
      </w:pPr>
    </w:p>
    <w:p w14:paraId="71F4D8EB"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 w14:paraId="66A9BCFF">
      <w:pPr>
        <w:spacing w:line="540" w:lineRule="exact"/>
        <w:ind w:firstLine="640" w:firstLineChars="20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2"/>
          <w:szCs w:val="32"/>
        </w:rPr>
        <w:t>年政府债务基本情况</w:t>
      </w:r>
    </w:p>
    <w:p w14:paraId="4277D4A8">
      <w:pPr>
        <w:spacing w:line="54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（一）政府债务余额</w:t>
      </w:r>
    </w:p>
    <w:p w14:paraId="2156FF7D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年我区政府债务限额848872.82万元（铁山区域限额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26953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万元），其中一般债务限额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218176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26953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万元），专项债务限额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630696.82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,2024年市级暂未下发新增限额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7386A6C">
      <w:pPr>
        <w:spacing w:line="54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2024年末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，全区政府债务余额为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868096.82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万元），其中：一般债务余额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217750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万元），专项债务余额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650346.82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</w:t>
      </w:r>
    </w:p>
    <w:p w14:paraId="60BC697B">
      <w:pPr>
        <w:spacing w:line="54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（二）政府债券资金</w:t>
      </w:r>
    </w:p>
    <w:p w14:paraId="501CDD4D">
      <w:pPr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年上级下达我区政府债券资金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62707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万元），其中：再融资债券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31307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万元），新增债券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，置换再融资债券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6089D2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31307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万元其中：一般债券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27510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用于借新还旧偿还到期债券本金。</w:t>
      </w:r>
    </w:p>
    <w:p w14:paraId="7471C9DE">
      <w:pPr>
        <w:spacing w:line="240" w:lineRule="auto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新增债券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用于学校建设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用于公路维修改造工程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300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,美丽乡村建设200万元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安排用于棚改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15000万元，产业园建设4000万元。</w:t>
      </w:r>
    </w:p>
    <w:p w14:paraId="40AF65CC">
      <w:pPr>
        <w:ind w:firstLine="62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再融资债券6400万元，其中一般债券3800万元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，专项债券2600万元。</w:t>
      </w:r>
    </w:p>
    <w:p w14:paraId="27FC430D">
      <w:pPr>
        <w:numPr>
          <w:ilvl w:val="0"/>
          <w:numId w:val="1"/>
        </w:numPr>
        <w:ind w:firstLine="62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2024年政府债券还本付息情况</w:t>
      </w:r>
    </w:p>
    <w:p w14:paraId="26AA9E96">
      <w:pPr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2024年到期政府债务本金63538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到期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政府债务利息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27198.73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万元，还本付息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90736.73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万元。偿还资金纳入财政预算，通过预算安排债务本金支出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32231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债务利息支出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27198.73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，通过申报再融资偿还债务本金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31307万元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政府债务偿还资金已</w:t>
      </w:r>
      <w:r>
        <w:rPr>
          <w:rFonts w:hint="eastAsia" w:ascii="仿宋_GB2312" w:hAnsi="仿宋_GB2312" w:eastAsia="仿宋_GB2312" w:cs="仿宋_GB2312"/>
          <w:sz w:val="32"/>
          <w:szCs w:val="32"/>
        </w:rPr>
        <w:t>分类纳入一般公共预算和政府性基金预算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并按预算执行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E40879A">
      <w:pPr>
        <w:spacing w:line="540" w:lineRule="exact"/>
        <w:ind w:firstLine="640" w:firstLineChars="20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32"/>
          <w:szCs w:val="32"/>
        </w:rPr>
        <w:t>年到期政府债务本息预算安排情况</w:t>
      </w:r>
    </w:p>
    <w:p w14:paraId="0F2B20BB">
      <w:pPr>
        <w:spacing w:line="540" w:lineRule="exact"/>
        <w:ind w:firstLine="640" w:firstLineChars="200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</w:rPr>
        <w:t>需偿还政府债务本金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14454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万元，需偿还政府债务利息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26903.3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万元，共需还本付息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41357.3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万元。根据财政部关于债务预算管理的要求，将政府债务的到期偿还资金纳入财政预算，通过预算安排债务本金支出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万元）、专项债务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，预计可通过申报再融资偿还债务本金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11577万元，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万元）、专项债务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万元。通过预算安排债务利息支出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26903.3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万元，其中一般债务利息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万元）、专项债务利息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20453.3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万元，并分类纳入一般公共预算和政府性基金预算。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5B85E"/>
    <w:multiLevelType w:val="singleLevel"/>
    <w:tmpl w:val="55F5B85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ZWY3ZjYxNGZhYjJkNzUwMTU3MWZkNzY3OTdhNTgifQ=="/>
  </w:docVars>
  <w:rsids>
    <w:rsidRoot w:val="128A72B6"/>
    <w:rsid w:val="08CD566C"/>
    <w:rsid w:val="09B01C47"/>
    <w:rsid w:val="0D2860AD"/>
    <w:rsid w:val="0EE05018"/>
    <w:rsid w:val="128A72B6"/>
    <w:rsid w:val="130F5C30"/>
    <w:rsid w:val="20422082"/>
    <w:rsid w:val="27160EE4"/>
    <w:rsid w:val="2CD07D87"/>
    <w:rsid w:val="2D32459D"/>
    <w:rsid w:val="32807B59"/>
    <w:rsid w:val="343B765F"/>
    <w:rsid w:val="34987B05"/>
    <w:rsid w:val="3A3000B7"/>
    <w:rsid w:val="3D644BD4"/>
    <w:rsid w:val="3FC714BD"/>
    <w:rsid w:val="40926E25"/>
    <w:rsid w:val="4A033594"/>
    <w:rsid w:val="517F7502"/>
    <w:rsid w:val="53CA4C80"/>
    <w:rsid w:val="546F39F9"/>
    <w:rsid w:val="54F912A2"/>
    <w:rsid w:val="554973CD"/>
    <w:rsid w:val="6C553829"/>
    <w:rsid w:val="6F7A5BC7"/>
    <w:rsid w:val="70013D25"/>
    <w:rsid w:val="70425E72"/>
    <w:rsid w:val="71892549"/>
    <w:rsid w:val="722978DD"/>
    <w:rsid w:val="7CE81B50"/>
    <w:rsid w:val="7E2C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191919"/>
      <w:u w:val="none"/>
    </w:rPr>
  </w:style>
  <w:style w:type="character" w:styleId="7">
    <w:name w:val="Emphasis"/>
    <w:basedOn w:val="4"/>
    <w:autoRedefine/>
    <w:qFormat/>
    <w:uiPriority w:val="0"/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191919"/>
      <w:u w:val="none"/>
    </w:rPr>
  </w:style>
  <w:style w:type="character" w:styleId="11">
    <w:name w:val="HTML Cod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ui-selectmenu-text"/>
    <w:basedOn w:val="4"/>
    <w:qFormat/>
    <w:uiPriority w:val="0"/>
  </w:style>
  <w:style w:type="character" w:customStyle="1" w:styleId="16">
    <w:name w:val="hover15"/>
    <w:basedOn w:val="4"/>
    <w:qFormat/>
    <w:uiPriority w:val="0"/>
    <w:rPr>
      <w:shd w:val="clear" w:fill="EB333B"/>
    </w:rPr>
  </w:style>
  <w:style w:type="character" w:customStyle="1" w:styleId="17">
    <w:name w:val="ui-icon36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882</Characters>
  <Lines>0</Lines>
  <Paragraphs>0</Paragraphs>
  <TotalTime>12</TotalTime>
  <ScaleCrop>false</ScaleCrop>
  <LinksUpToDate>false</LinksUpToDate>
  <CharactersWithSpaces>981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2023-12-08T07:23:00Z</dcterms:created>
  <dc:creator>左手倒影，右手年华</dc:creator>
  <cp:lastModifiedBy>Administrator</cp:lastModifiedBy>
  <cp:lastPrinted>2024-01-09T02:45:00Z</cp:lastPrinted>
  <dcterms:modified xsi:type="dcterms:W3CDTF">2025-01-10T03:37:13Z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ADDCBAF181D44C2F957618DDD7FF2BE3_13</vt:lpwstr>
  </property>
  <property fmtid="{D5CDD505-2E9C-101B-9397-08002B2CF9AE}" pid="4" name="KSOTemplateDocerSaveRecord">
    <vt:lpwstr>eyJoZGlkIjoiN2U2ZWY3ZjYxNGZhYjJkNzUwMTU3MWZkNzY3OTdhNTgiLCJ1c2VySWQiOiIzMjk2MTc1OTMifQ==</vt:lpwstr>
  </property>
</Properties>
</file>