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开发区·铁山区预算绩效工作开展情况</w:t>
      </w:r>
    </w:p>
    <w:p>
      <w:pPr>
        <w:rPr>
          <w:rFonts w:hint="eastAsia" w:ascii="黑体" w:hAnsi="黑体" w:eastAsia="黑体" w:cs="黑体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 xml:space="preserve">年预算绩效管理工作开展情况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年，开发区·铁山区预算绩效管理工作稳步开展，各预算单位积极开展预算绩效管理工作，力</w:t>
      </w:r>
      <w:r>
        <w:rPr>
          <w:rFonts w:ascii="仿宋_GB2312" w:hAnsi="仿宋_GB2312" w:eastAsia="仿宋_GB2312" w:cs="仿宋_GB2312"/>
          <w:sz w:val="32"/>
          <w:szCs w:val="32"/>
        </w:rPr>
        <w:t>争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做到预算项目绩效目标编制全覆盖，经人大审查后，年度预算以绩效目标为导向，根据工作完成情况结合年度目标开展绩效自评工作。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区财政部门修订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印发了《关于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全面实施预算绩效管理系列制度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加快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Times New Roman" w:eastAsia="仿宋_GB2312" w:cs="仿宋_GB2312"/>
          <w:sz w:val="32"/>
          <w:szCs w:val="32"/>
        </w:rPr>
        <w:t>全方位、全过程、全覆盖的预算绩效管理体系，实现预算和绩效管理一体化，切实提高财政资源配置效率和使用效益，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为我区预算绩效管理工作奠定了坚实的基础。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4月组织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区级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预算单位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申报2021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年度部门整体支出绩效目标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开展了2021年度财政专项资金绩效监控工作、2020年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度部门整体支出评价工作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2020年度区级财政项目支出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评价工作。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为了进一步检验单位的自评成果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按相关程序聘请第三方中介机构对6个20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年重点项目支出开展绩效再评价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，出具了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重点项目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绩效评价结果，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其中有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个项目支出评为“优”，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个项目支出评为“良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”，并责令项目单位根据评价报告结果出具相关整改报告。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年预算绩效工作重点</w:t>
      </w:r>
      <w:bookmarkStart w:id="0" w:name="_GoBack"/>
      <w:bookmarkEnd w:id="0"/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（一）健全预算绩效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体系。选择资质好、业务精的第三方机构合作，对预算单位一对一指导培训，按照上级要求，建立我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的行业绩效目标指标体系，绩效指标和标准体系要与基本公共服务标准、部门预算项目支出标准等衔接匹配，突出结果导向，重点考核实绩。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二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强化预算绩效管理业务培训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。加强与上级财政部门沟通汇报，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通过以会代训，举办专题培训班，聘请专家授课等多种形式，在全区开展业务培训，进一步提高业务能力和预算绩效管理效果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绩效评价结果应用制度。建立绩效评价结果的反馈制度，不断完善绩效评价结果的反馈和运用机制，将绩效结果向社会逐步公布，进一步增强单位的责任感和紧迫感。将评价结果作为安排以后年度预算的重要依据，切实发挥绩效评价工作的应有作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80D44"/>
    <w:rsid w:val="044F0706"/>
    <w:rsid w:val="1638724C"/>
    <w:rsid w:val="1A5247D4"/>
    <w:rsid w:val="227D5433"/>
    <w:rsid w:val="228644BC"/>
    <w:rsid w:val="31D80D44"/>
    <w:rsid w:val="37FD19CE"/>
    <w:rsid w:val="40534356"/>
    <w:rsid w:val="47503B46"/>
    <w:rsid w:val="5AF620F4"/>
    <w:rsid w:val="5DA16A52"/>
    <w:rsid w:val="60BB49A1"/>
    <w:rsid w:val="632A1297"/>
    <w:rsid w:val="659155FE"/>
    <w:rsid w:val="74BB61F3"/>
    <w:rsid w:val="7635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2022-02-24T01:14:00Z</dcterms:created>
  <dc:creator>左手倒影，右手年华</dc:creator>
  <cp:lastModifiedBy>刃鸣1393669905</cp:lastModifiedBy>
  <dcterms:modified xsi:type="dcterms:W3CDTF">2022-02-25T01:32:08Z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F5DFA79933BA425180A7EACFC8FB3899</vt:lpwstr>
  </property>
</Properties>
</file>