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2022年开发区·铁山区转移支付预算</w:t>
      </w:r>
    </w:p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情 况 说 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年开发区</w:t>
      </w:r>
      <w:r>
        <w:rPr>
          <w:rFonts w:hint="eastAsia"/>
          <w:sz w:val="30"/>
          <w:szCs w:val="30"/>
          <w:lang w:val="en-US" w:eastAsia="zh-CN"/>
        </w:rPr>
        <w:t>·铁山区</w:t>
      </w:r>
      <w:r>
        <w:rPr>
          <w:rFonts w:hint="eastAsia"/>
          <w:sz w:val="30"/>
          <w:szCs w:val="30"/>
        </w:rPr>
        <w:t>一般公共预算</w:t>
      </w:r>
      <w:r>
        <w:rPr>
          <w:rFonts w:hint="eastAsia"/>
          <w:sz w:val="30"/>
          <w:szCs w:val="30"/>
          <w:lang w:val="en-US" w:eastAsia="zh-CN"/>
        </w:rPr>
        <w:t>转移性收入152,289万元，其中：</w:t>
      </w:r>
      <w:r>
        <w:rPr>
          <w:rFonts w:hint="eastAsia"/>
          <w:sz w:val="30"/>
          <w:szCs w:val="30"/>
        </w:rPr>
        <w:t>增值税税收</w:t>
      </w:r>
      <w:r>
        <w:rPr>
          <w:rFonts w:hint="eastAsia"/>
          <w:sz w:val="30"/>
          <w:szCs w:val="30"/>
          <w:lang w:eastAsia="zh-CN"/>
        </w:rPr>
        <w:t>返还</w:t>
      </w:r>
      <w:r>
        <w:rPr>
          <w:rFonts w:hint="eastAsia"/>
          <w:sz w:val="30"/>
          <w:szCs w:val="30"/>
          <w:lang w:val="en-US" w:eastAsia="zh-CN"/>
        </w:rPr>
        <w:t>4,990</w:t>
      </w:r>
      <w:r>
        <w:rPr>
          <w:rFonts w:hint="eastAsia"/>
          <w:sz w:val="30"/>
          <w:szCs w:val="30"/>
        </w:rPr>
        <w:t>万元</w:t>
      </w:r>
      <w:bookmarkStart w:id="0" w:name="_GoBack"/>
      <w:bookmarkEnd w:id="0"/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val="en-US" w:eastAsia="zh-CN"/>
        </w:rPr>
        <w:t>固定转移支付10,514万元，结算补助收入54,432万元，调入资金67,153万元，债务转贷收入15,200万元。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年开发区</w:t>
      </w:r>
      <w:r>
        <w:rPr>
          <w:rFonts w:hint="eastAsia"/>
          <w:sz w:val="30"/>
          <w:szCs w:val="30"/>
          <w:lang w:val="en-US" w:eastAsia="zh-CN"/>
        </w:rPr>
        <w:t>·铁山区</w:t>
      </w:r>
      <w:r>
        <w:rPr>
          <w:rFonts w:hint="eastAsia"/>
          <w:sz w:val="30"/>
          <w:szCs w:val="30"/>
        </w:rPr>
        <w:t>一般公共预算</w:t>
      </w:r>
      <w:r>
        <w:rPr>
          <w:rFonts w:hint="eastAsia"/>
          <w:sz w:val="30"/>
          <w:szCs w:val="30"/>
          <w:lang w:val="en-US" w:eastAsia="zh-CN"/>
        </w:rPr>
        <w:t>转移性支出54,981万元，其中：体制上解39,781万元，债务还本支出15,200万元。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77E64"/>
    <w:rsid w:val="049553B1"/>
    <w:rsid w:val="112D7BE9"/>
    <w:rsid w:val="11BF40CF"/>
    <w:rsid w:val="1D080FAD"/>
    <w:rsid w:val="201041D5"/>
    <w:rsid w:val="20B86DB9"/>
    <w:rsid w:val="21A50BA9"/>
    <w:rsid w:val="238957A9"/>
    <w:rsid w:val="25177FCE"/>
    <w:rsid w:val="258C6648"/>
    <w:rsid w:val="27157A94"/>
    <w:rsid w:val="27BA3066"/>
    <w:rsid w:val="2D093F3A"/>
    <w:rsid w:val="35DA0F92"/>
    <w:rsid w:val="36C51D30"/>
    <w:rsid w:val="387721DD"/>
    <w:rsid w:val="41F93C9E"/>
    <w:rsid w:val="483254F0"/>
    <w:rsid w:val="48A25D2F"/>
    <w:rsid w:val="4A4005FC"/>
    <w:rsid w:val="4A935ACD"/>
    <w:rsid w:val="4C6D740B"/>
    <w:rsid w:val="4E083D03"/>
    <w:rsid w:val="4F683A8E"/>
    <w:rsid w:val="53B3680D"/>
    <w:rsid w:val="5494769F"/>
    <w:rsid w:val="557C449E"/>
    <w:rsid w:val="5E482DC0"/>
    <w:rsid w:val="618E79F8"/>
    <w:rsid w:val="658554D3"/>
    <w:rsid w:val="6BE47513"/>
    <w:rsid w:val="6C6A1673"/>
    <w:rsid w:val="714E26FF"/>
    <w:rsid w:val="77CF75C0"/>
    <w:rsid w:val="7D275420"/>
    <w:rsid w:val="7ED84997"/>
    <w:rsid w:val="7F3A3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刃鸣1393669905</cp:lastModifiedBy>
  <cp:lastPrinted>2020-06-02T07:24:00Z</cp:lastPrinted>
  <dcterms:modified xsi:type="dcterms:W3CDTF">2022-01-17T08:39:57Z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3201AC3CC5EE4F108595A9077BEAC67D</vt:lpwstr>
  </property>
</Properties>
</file>