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100" w:firstLineChars="250"/>
        <w:rPr>
          <w:rFonts w:ascii="黑体" w:hAnsi="黑体" w:eastAsia="黑体" w:cs="Times New Roman"/>
          <w:sz w:val="44"/>
          <w:szCs w:val="44"/>
        </w:rPr>
      </w:pPr>
      <w:r>
        <w:rPr>
          <w:rFonts w:hint="eastAsia" w:ascii="黑体" w:hAnsi="黑体" w:eastAsia="黑体" w:cs="Times New Roman"/>
          <w:sz w:val="44"/>
          <w:szCs w:val="44"/>
        </w:rPr>
        <w:t>国有建设用地使用权挂牌出让须知</w:t>
      </w:r>
    </w:p>
    <w:p>
      <w:pPr>
        <w:jc w:val="center"/>
        <w:rPr>
          <w:rFonts w:ascii="仿宋" w:hAnsi="仿宋" w:eastAsia="仿宋"/>
          <w:sz w:val="32"/>
          <w:szCs w:val="32"/>
        </w:rPr>
      </w:pPr>
      <w:r>
        <w:rPr>
          <w:rFonts w:hint="eastAsia" w:ascii="仿宋" w:hAnsi="仿宋" w:eastAsia="仿宋"/>
          <w:sz w:val="32"/>
          <w:szCs w:val="32"/>
        </w:rPr>
        <w:t>黄开土易告字〔202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03</w:t>
      </w:r>
      <w:r>
        <w:rPr>
          <w:rFonts w:hint="eastAsia" w:ascii="仿宋" w:hAnsi="仿宋" w:eastAsia="仿宋"/>
          <w:sz w:val="32"/>
          <w:szCs w:val="32"/>
        </w:rPr>
        <w:t>号</w:t>
      </w:r>
    </w:p>
    <w:p>
      <w:pPr>
        <w:spacing w:line="440" w:lineRule="exact"/>
        <w:jc w:val="center"/>
        <w:rPr>
          <w:rFonts w:ascii="仿宋_GB2312" w:hAnsi="Times New Roman" w:eastAsia="仿宋_GB2312" w:cs="Times New Roman"/>
          <w:sz w:val="32"/>
          <w:szCs w:val="32"/>
        </w:rPr>
      </w:pP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w:t>
      </w:r>
      <w:r>
        <w:rPr>
          <w:rFonts w:hint="eastAsia" w:ascii="仿宋" w:hAnsi="仿宋" w:eastAsia="仿宋"/>
          <w:sz w:val="30"/>
          <w:szCs w:val="30"/>
        </w:rPr>
        <w:t>黄石经济技术开发区管委会·铁山区</w:t>
      </w:r>
      <w:r>
        <w:rPr>
          <w:rFonts w:hint="eastAsia" w:ascii="Times New Roman" w:hAnsi="Times New Roman" w:eastAsia="仿宋_GB2312" w:cs="Times New Roman"/>
          <w:sz w:val="32"/>
          <w:szCs w:val="32"/>
        </w:rPr>
        <w:t>政府批准，开发区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铁山区公共资源交易中心根据黄石市自然资源和规划局开发区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铁山区分局的来函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决定以网上挂牌方式出让</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宗国有建设用地使用权。</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一、本次国有建设用地使用权挂牌出让的出让人为黄石市自然资源和规划开发区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铁山区分局，具体组织实施由黄石经济技术开发区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铁山区公共资源交易中心承办。</w:t>
      </w:r>
    </w:p>
    <w:p>
      <w:pPr>
        <w:spacing w:line="4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二、本次国有建设用地使用权挂牌出让遵循公开、公平、公正和诚实信用原则。</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三、出让地块基本情况及规划指标要求等：</w:t>
      </w:r>
    </w:p>
    <w:tbl>
      <w:tblPr>
        <w:tblStyle w:val="8"/>
        <w:tblW w:w="8525" w:type="dxa"/>
        <w:jc w:val="center"/>
        <w:tblLayout w:type="fixed"/>
        <w:tblCellMar>
          <w:top w:w="0" w:type="dxa"/>
          <w:left w:w="0" w:type="dxa"/>
          <w:bottom w:w="0" w:type="dxa"/>
          <w:right w:w="0" w:type="dxa"/>
        </w:tblCellMar>
      </w:tblPr>
      <w:tblGrid>
        <w:gridCol w:w="811"/>
        <w:gridCol w:w="1377"/>
        <w:gridCol w:w="767"/>
        <w:gridCol w:w="1116"/>
        <w:gridCol w:w="860"/>
        <w:gridCol w:w="675"/>
        <w:gridCol w:w="645"/>
        <w:gridCol w:w="654"/>
        <w:gridCol w:w="778"/>
        <w:gridCol w:w="842"/>
      </w:tblGrid>
      <w:tr>
        <w:tblPrEx>
          <w:tblCellMar>
            <w:top w:w="0" w:type="dxa"/>
            <w:left w:w="0" w:type="dxa"/>
            <w:bottom w:w="0" w:type="dxa"/>
            <w:right w:w="0" w:type="dxa"/>
          </w:tblCellMar>
        </w:tblPrEx>
        <w:trPr>
          <w:cantSplit/>
          <w:trHeight w:val="281" w:hRule="atLeast"/>
          <w:jc w:val="center"/>
        </w:trPr>
        <w:tc>
          <w:tcPr>
            <w:tcW w:w="81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pacing w:val="-8"/>
                <w:sz w:val="18"/>
                <w:szCs w:val="18"/>
              </w:rPr>
            </w:pPr>
            <w:r>
              <w:rPr>
                <w:spacing w:val="-8"/>
                <w:sz w:val="18"/>
                <w:szCs w:val="18"/>
              </w:rPr>
              <w:t>地块</w:t>
            </w:r>
          </w:p>
          <w:p>
            <w:pPr>
              <w:spacing w:line="220" w:lineRule="exact"/>
              <w:jc w:val="center"/>
              <w:rPr>
                <w:spacing w:val="-8"/>
                <w:sz w:val="18"/>
                <w:szCs w:val="18"/>
              </w:rPr>
            </w:pPr>
            <w:r>
              <w:rPr>
                <w:spacing w:val="-8"/>
                <w:sz w:val="18"/>
                <w:szCs w:val="18"/>
              </w:rPr>
              <w:t>编号</w:t>
            </w:r>
          </w:p>
        </w:tc>
        <w:tc>
          <w:tcPr>
            <w:tcW w:w="137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pacing w:val="-8"/>
                <w:sz w:val="18"/>
                <w:szCs w:val="18"/>
              </w:rPr>
            </w:pPr>
            <w:r>
              <w:rPr>
                <w:spacing w:val="-8"/>
                <w:sz w:val="18"/>
                <w:szCs w:val="18"/>
              </w:rPr>
              <w:t>土地坐落</w:t>
            </w:r>
          </w:p>
        </w:tc>
        <w:tc>
          <w:tcPr>
            <w:tcW w:w="767" w:type="dxa"/>
            <w:vMerge w:val="restart"/>
            <w:tcBorders>
              <w:top w:val="single" w:color="auto" w:sz="4" w:space="0"/>
              <w:left w:val="single" w:color="auto" w:sz="4" w:space="0"/>
              <w:right w:val="single" w:color="auto" w:sz="4" w:space="0"/>
            </w:tcBorders>
            <w:noWrap w:val="0"/>
            <w:vAlign w:val="center"/>
          </w:tcPr>
          <w:p>
            <w:pPr>
              <w:spacing w:line="220" w:lineRule="exact"/>
              <w:jc w:val="center"/>
              <w:rPr>
                <w:sz w:val="18"/>
                <w:szCs w:val="18"/>
              </w:rPr>
            </w:pPr>
            <w:r>
              <w:rPr>
                <w:sz w:val="18"/>
                <w:szCs w:val="18"/>
              </w:rPr>
              <w:t>出让面积(㎡)</w:t>
            </w:r>
          </w:p>
        </w:tc>
        <w:tc>
          <w:tcPr>
            <w:tcW w:w="111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土地</w:t>
            </w:r>
          </w:p>
          <w:p>
            <w:pPr>
              <w:spacing w:line="220" w:lineRule="exact"/>
              <w:jc w:val="center"/>
              <w:rPr>
                <w:sz w:val="18"/>
                <w:szCs w:val="18"/>
              </w:rPr>
            </w:pPr>
            <w:r>
              <w:rPr>
                <w:sz w:val="18"/>
                <w:szCs w:val="18"/>
              </w:rPr>
              <w:t>用途</w:t>
            </w:r>
          </w:p>
        </w:tc>
        <w:tc>
          <w:tcPr>
            <w:tcW w:w="21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规划指标要求</w:t>
            </w:r>
          </w:p>
        </w:tc>
        <w:tc>
          <w:tcPr>
            <w:tcW w:w="654" w:type="dxa"/>
            <w:vMerge w:val="restart"/>
            <w:tcBorders>
              <w:top w:val="single" w:color="auto" w:sz="4" w:space="0"/>
              <w:left w:val="nil"/>
              <w:right w:val="single" w:color="auto" w:sz="4" w:space="0"/>
            </w:tcBorders>
            <w:noWrap w:val="0"/>
            <w:vAlign w:val="center"/>
          </w:tcPr>
          <w:p>
            <w:pPr>
              <w:spacing w:line="220" w:lineRule="exact"/>
              <w:jc w:val="center"/>
              <w:rPr>
                <w:sz w:val="18"/>
                <w:szCs w:val="18"/>
              </w:rPr>
            </w:pPr>
            <w:r>
              <w:rPr>
                <w:sz w:val="18"/>
                <w:szCs w:val="18"/>
              </w:rPr>
              <w:t>出让</w:t>
            </w:r>
          </w:p>
          <w:p>
            <w:pPr>
              <w:spacing w:line="220" w:lineRule="exact"/>
              <w:ind w:firstLine="180" w:firstLineChars="100"/>
              <w:rPr>
                <w:sz w:val="18"/>
                <w:szCs w:val="18"/>
              </w:rPr>
            </w:pPr>
            <w:r>
              <w:rPr>
                <w:sz w:val="18"/>
                <w:szCs w:val="18"/>
              </w:rPr>
              <w:t>年限</w:t>
            </w:r>
          </w:p>
        </w:tc>
        <w:tc>
          <w:tcPr>
            <w:tcW w:w="778"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竞买</w:t>
            </w:r>
          </w:p>
          <w:p>
            <w:pPr>
              <w:spacing w:line="220" w:lineRule="exact"/>
              <w:jc w:val="center"/>
              <w:rPr>
                <w:sz w:val="18"/>
                <w:szCs w:val="18"/>
              </w:rPr>
            </w:pPr>
            <w:r>
              <w:rPr>
                <w:sz w:val="18"/>
                <w:szCs w:val="18"/>
              </w:rPr>
              <w:t>保证金</w:t>
            </w:r>
          </w:p>
          <w:p>
            <w:pPr>
              <w:spacing w:line="220" w:lineRule="exact"/>
              <w:jc w:val="center"/>
              <w:rPr>
                <w:sz w:val="18"/>
                <w:szCs w:val="18"/>
              </w:rPr>
            </w:pPr>
            <w:r>
              <w:rPr>
                <w:sz w:val="18"/>
                <w:szCs w:val="18"/>
              </w:rPr>
              <w:t>(万元)</w:t>
            </w:r>
          </w:p>
        </w:tc>
        <w:tc>
          <w:tcPr>
            <w:tcW w:w="842"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挂牌</w:t>
            </w:r>
          </w:p>
          <w:p>
            <w:pPr>
              <w:spacing w:line="220" w:lineRule="exact"/>
              <w:jc w:val="center"/>
              <w:rPr>
                <w:sz w:val="18"/>
                <w:szCs w:val="18"/>
              </w:rPr>
            </w:pPr>
            <w:r>
              <w:rPr>
                <w:sz w:val="18"/>
                <w:szCs w:val="18"/>
              </w:rPr>
              <w:t>起始价</w:t>
            </w:r>
          </w:p>
          <w:p>
            <w:pPr>
              <w:spacing w:line="220" w:lineRule="exact"/>
              <w:jc w:val="center"/>
              <w:rPr>
                <w:sz w:val="18"/>
                <w:szCs w:val="18"/>
              </w:rPr>
            </w:pPr>
            <w:r>
              <w:rPr>
                <w:sz w:val="18"/>
                <w:szCs w:val="18"/>
              </w:rPr>
              <w:t>(万元)</w:t>
            </w:r>
          </w:p>
        </w:tc>
      </w:tr>
      <w:tr>
        <w:tblPrEx>
          <w:tblCellMar>
            <w:top w:w="0" w:type="dxa"/>
            <w:left w:w="0" w:type="dxa"/>
            <w:bottom w:w="0" w:type="dxa"/>
            <w:right w:w="0" w:type="dxa"/>
          </w:tblCellMar>
        </w:tblPrEx>
        <w:trPr>
          <w:cantSplit/>
          <w:trHeight w:val="65" w:hRule="atLeas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sz w:val="18"/>
                <w:szCs w:val="18"/>
              </w:rPr>
            </w:pPr>
          </w:p>
        </w:tc>
        <w:tc>
          <w:tcPr>
            <w:tcW w:w="1377"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left"/>
              <w:rPr>
                <w:sz w:val="18"/>
                <w:szCs w:val="18"/>
              </w:rPr>
            </w:pPr>
          </w:p>
        </w:tc>
        <w:tc>
          <w:tcPr>
            <w:tcW w:w="767"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sz w:val="18"/>
                <w:szCs w:val="18"/>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sz w:val="18"/>
                <w:szCs w:val="18"/>
              </w:rPr>
            </w:pPr>
          </w:p>
        </w:tc>
        <w:tc>
          <w:tcPr>
            <w:tcW w:w="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容积率</w:t>
            </w:r>
          </w:p>
        </w:tc>
        <w:tc>
          <w:tcPr>
            <w:tcW w:w="6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ind w:firstLine="90" w:firstLineChars="50"/>
              <w:rPr>
                <w:sz w:val="18"/>
                <w:szCs w:val="18"/>
              </w:rPr>
            </w:pPr>
            <w:r>
              <w:rPr>
                <w:sz w:val="18"/>
                <w:szCs w:val="18"/>
              </w:rPr>
              <w:t>建筑</w:t>
            </w:r>
          </w:p>
          <w:p>
            <w:pPr>
              <w:spacing w:line="220" w:lineRule="exact"/>
              <w:jc w:val="center"/>
              <w:rPr>
                <w:sz w:val="18"/>
                <w:szCs w:val="18"/>
              </w:rPr>
            </w:pPr>
            <w:r>
              <w:rPr>
                <w:sz w:val="18"/>
                <w:szCs w:val="18"/>
              </w:rPr>
              <w:t>密度(%)</w:t>
            </w:r>
          </w:p>
        </w:tc>
        <w:tc>
          <w:tcPr>
            <w:tcW w:w="6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sz w:val="18"/>
                <w:szCs w:val="18"/>
              </w:rPr>
            </w:pPr>
            <w:r>
              <w:rPr>
                <w:sz w:val="18"/>
                <w:szCs w:val="18"/>
              </w:rPr>
              <w:t>绿地率(%)</w:t>
            </w:r>
          </w:p>
        </w:tc>
        <w:tc>
          <w:tcPr>
            <w:tcW w:w="654" w:type="dxa"/>
            <w:vMerge w:val="continue"/>
            <w:tcBorders>
              <w:left w:val="nil"/>
              <w:bottom w:val="single" w:color="auto" w:sz="4" w:space="0"/>
              <w:right w:val="single" w:color="auto" w:sz="4" w:space="0"/>
            </w:tcBorders>
            <w:noWrap w:val="0"/>
            <w:vAlign w:val="center"/>
          </w:tcPr>
          <w:p>
            <w:pPr>
              <w:widowControl/>
              <w:spacing w:line="220" w:lineRule="exact"/>
              <w:jc w:val="left"/>
              <w:rPr>
                <w:sz w:val="18"/>
                <w:szCs w:val="18"/>
              </w:rPr>
            </w:pPr>
          </w:p>
        </w:tc>
        <w:tc>
          <w:tcPr>
            <w:tcW w:w="778"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left"/>
              <w:rPr>
                <w:sz w:val="18"/>
                <w:szCs w:val="18"/>
              </w:rPr>
            </w:pPr>
          </w:p>
        </w:tc>
        <w:tc>
          <w:tcPr>
            <w:tcW w:w="842"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left"/>
              <w:rPr>
                <w:sz w:val="18"/>
                <w:szCs w:val="18"/>
              </w:rPr>
            </w:pPr>
          </w:p>
        </w:tc>
      </w:tr>
      <w:tr>
        <w:tblPrEx>
          <w:tblCellMar>
            <w:top w:w="0" w:type="dxa"/>
            <w:left w:w="0" w:type="dxa"/>
            <w:bottom w:w="0" w:type="dxa"/>
            <w:right w:w="0" w:type="dxa"/>
          </w:tblCellMar>
        </w:tblPrEx>
        <w:trPr>
          <w:cantSplit/>
          <w:trHeight w:val="76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HG24006</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A05路以东、光谷大道以南、携康电子以西、B06路以北A-01地块</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29656</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w:t>
            </w:r>
          </w:p>
        </w:tc>
        <w:tc>
          <w:tcPr>
            <w:tcW w:w="8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工业50年</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400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800</w:t>
            </w:r>
          </w:p>
        </w:tc>
      </w:tr>
      <w:tr>
        <w:tblPrEx>
          <w:tblCellMar>
            <w:top w:w="0" w:type="dxa"/>
            <w:left w:w="0" w:type="dxa"/>
            <w:bottom w:w="0" w:type="dxa"/>
            <w:right w:w="0" w:type="dxa"/>
          </w:tblCellMar>
        </w:tblPrEx>
        <w:trPr>
          <w:cantSplit/>
          <w:trHeight w:val="998"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HG24007</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A05路以东、光谷大道以南、携康电子以西、B06路以北A-02地块</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19211</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w:t>
            </w:r>
          </w:p>
        </w:tc>
        <w:tc>
          <w:tcPr>
            <w:tcW w:w="8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工业50年</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259</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518</w:t>
            </w:r>
          </w:p>
        </w:tc>
      </w:tr>
      <w:tr>
        <w:tblPrEx>
          <w:tblCellMar>
            <w:top w:w="0" w:type="dxa"/>
            <w:left w:w="0" w:type="dxa"/>
            <w:bottom w:w="0" w:type="dxa"/>
            <w:right w:w="0" w:type="dxa"/>
          </w:tblCellMar>
        </w:tblPrEx>
        <w:trPr>
          <w:cantSplit/>
          <w:trHeight w:val="998"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HG24008</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三岔路以西、G106国道西段以北、规划道路以东地块</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142190</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w:t>
            </w:r>
          </w:p>
        </w:tc>
        <w:tc>
          <w:tcPr>
            <w:tcW w:w="8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20" w:lineRule="exact"/>
              <w:jc w:val="center"/>
              <w:rPr>
                <w:rFonts w:hint="eastAsia"/>
                <w:spacing w:val="-8"/>
                <w:sz w:val="18"/>
                <w:szCs w:val="18"/>
              </w:rPr>
            </w:pPr>
            <w:r>
              <w:rPr>
                <w:rFonts w:hint="eastAsia"/>
                <w:spacing w:val="-8"/>
                <w:sz w:val="18"/>
                <w:szCs w:val="18"/>
              </w:rPr>
              <w:t>≤15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工业50年</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1920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spacing w:val="-8"/>
                <w:sz w:val="18"/>
                <w:szCs w:val="18"/>
              </w:rPr>
            </w:pPr>
            <w:r>
              <w:rPr>
                <w:rFonts w:hint="eastAsia"/>
                <w:spacing w:val="-8"/>
                <w:sz w:val="18"/>
                <w:szCs w:val="18"/>
              </w:rPr>
              <w:t xml:space="preserve"> 3840 </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四、特别约定</w:t>
      </w:r>
    </w:p>
    <w:p>
      <w:pPr>
        <w:pStyle w:val="3"/>
        <w:spacing w:line="540" w:lineRule="exact"/>
        <w:ind w:firstLine="640" w:firstLineChars="200"/>
        <w:rPr>
          <w:rFonts w:hint="eastAsia" w:eastAsia="仿宋_GB2312"/>
          <w:sz w:val="32"/>
        </w:rPr>
      </w:pPr>
      <w:r>
        <w:rPr>
          <w:rFonts w:hint="eastAsia" w:eastAsia="仿宋_GB2312"/>
          <w:sz w:val="32"/>
        </w:rPr>
        <w:t>（一）土地收购综合补偿约定：土地使用权及地面建(构)筑物的拆迁、补偿由黄石经济技术开发区管委会·铁山区政府负责。宗地涉及的契税、印花税由竞得人按规定缴纳。</w:t>
      </w:r>
    </w:p>
    <w:p>
      <w:pPr>
        <w:pStyle w:val="3"/>
        <w:spacing w:line="540" w:lineRule="exact"/>
        <w:ind w:firstLine="640" w:firstLineChars="200"/>
        <w:rPr>
          <w:rFonts w:hint="eastAsia" w:eastAsia="仿宋_GB2312"/>
          <w:sz w:val="32"/>
        </w:rPr>
      </w:pPr>
      <w:r>
        <w:rPr>
          <w:rFonts w:hint="eastAsia" w:eastAsia="仿宋_GB2312"/>
          <w:sz w:val="32"/>
        </w:rPr>
        <w:t>（二）土地开发程度：“五通”（通路、通电、通讯、通上水、通下水），红线内场地现状交付。</w:t>
      </w:r>
    </w:p>
    <w:p>
      <w:pPr>
        <w:pStyle w:val="3"/>
        <w:spacing w:line="540" w:lineRule="exact"/>
        <w:ind w:firstLine="640" w:firstLineChars="200"/>
        <w:rPr>
          <w:rFonts w:hint="eastAsia" w:eastAsia="仿宋_GB2312"/>
          <w:sz w:val="32"/>
        </w:rPr>
      </w:pPr>
      <w:r>
        <w:rPr>
          <w:rFonts w:hint="eastAsia" w:eastAsia="仿宋_GB2312"/>
          <w:sz w:val="32"/>
        </w:rPr>
        <w:t>（三）土地交付：由黄石经济技术开发区管委会·铁山区政府负责。</w:t>
      </w:r>
    </w:p>
    <w:p>
      <w:pPr>
        <w:pStyle w:val="3"/>
        <w:spacing w:line="540" w:lineRule="exact"/>
        <w:ind w:firstLine="640" w:firstLineChars="200"/>
        <w:rPr>
          <w:rFonts w:hint="eastAsia" w:eastAsia="仿宋_GB2312"/>
          <w:sz w:val="32"/>
        </w:rPr>
      </w:pPr>
      <w:r>
        <w:rPr>
          <w:rFonts w:hint="eastAsia" w:eastAsia="仿宋_GB2312"/>
          <w:sz w:val="32"/>
        </w:rPr>
        <w:t>（四）HG24006、HG24007、HG24008地块竞得人必须严格按照黄石市自然资源和规划局出具规划条件要求进行开发建设。HG24006、HG24007、HG24008号地块土地出让金自《国有土地使用权出让合同》签订之日起30天内缴清。受让人宗地所涉及的契税、印花税没有纳入土地出让价款，由竞得者在土地出让合同签订之日起1个月内缴清。HG24006、HG24007、HG24008号地块土地成交后竞得人出具《“标准地”企业信用承诺书》与黄石经济技术开发区·铁山区民营企业发展促进中心签订《企业投资工业项目“标准地”投资建设合同》。企业提供供地申请等相关资料，再按程序签订《国有建设用地使用权出让合同》，并在签订出让合同后10个工作日内建立“建设项目信息公示牌”，公示牌具体规格及公示内容由自然资源和规划部门另行告知。</w:t>
      </w:r>
    </w:p>
    <w:p>
      <w:pPr>
        <w:pStyle w:val="3"/>
        <w:spacing w:line="540" w:lineRule="exact"/>
        <w:ind w:firstLine="640" w:firstLineChars="200"/>
        <w:rPr>
          <w:rFonts w:hint="eastAsia" w:eastAsia="仿宋_GB2312"/>
          <w:sz w:val="32"/>
        </w:rPr>
      </w:pPr>
      <w:r>
        <w:rPr>
          <w:rFonts w:hint="eastAsia" w:eastAsia="仿宋_GB2312"/>
          <w:sz w:val="32"/>
        </w:rPr>
        <w:t>（五）HG24006号地块“标准地”增加约定条款：</w:t>
      </w:r>
    </w:p>
    <w:p>
      <w:pPr>
        <w:pStyle w:val="3"/>
        <w:spacing w:line="540" w:lineRule="exact"/>
        <w:ind w:firstLine="640" w:firstLineChars="200"/>
        <w:rPr>
          <w:rFonts w:hint="eastAsia" w:eastAsia="仿宋_GB2312"/>
          <w:sz w:val="32"/>
        </w:rPr>
      </w:pPr>
      <w:r>
        <w:rPr>
          <w:rFonts w:hint="eastAsia" w:eastAsia="仿宋_GB2312"/>
          <w:sz w:val="32"/>
        </w:rPr>
        <w:t>A05路以东、光谷大道以南、携康电子以西、B06路以北A-01地块：</w:t>
      </w:r>
    </w:p>
    <w:p>
      <w:pPr>
        <w:pStyle w:val="3"/>
        <w:spacing w:line="540" w:lineRule="exact"/>
        <w:ind w:firstLine="640" w:firstLineChars="200"/>
        <w:rPr>
          <w:rFonts w:hint="eastAsia" w:eastAsia="仿宋_GB2312"/>
          <w:sz w:val="32"/>
        </w:rPr>
      </w:pPr>
      <w:r>
        <w:rPr>
          <w:rFonts w:hint="eastAsia" w:eastAsia="仿宋_GB2312"/>
          <w:sz w:val="32"/>
        </w:rPr>
        <w:t>行业及投资条件：主要生产数控车床、龙门加工中心、磨床等产品，固定资产投资强度≥300万元/亩，土地税收≥25万元/亩，计划2024年8月份开工，2025年8月完工。</w:t>
      </w:r>
    </w:p>
    <w:p>
      <w:pPr>
        <w:pStyle w:val="3"/>
        <w:spacing w:line="540" w:lineRule="exact"/>
        <w:ind w:firstLine="640" w:firstLineChars="200"/>
        <w:rPr>
          <w:rFonts w:hint="eastAsia" w:eastAsia="仿宋_GB2312"/>
          <w:sz w:val="32"/>
        </w:rPr>
      </w:pPr>
      <w:r>
        <w:rPr>
          <w:rFonts w:hint="eastAsia" w:eastAsia="仿宋_GB2312"/>
          <w:sz w:val="32"/>
        </w:rPr>
        <w:t>环保条件：项目排放的各类污染物必须达到国家及地方排放标准，且排放污水必须经过预处理后进入污水处理厂进一步处理。项目必须在周围敏感点（学校、福利院、居民区等）设置环境保护距离。</w:t>
      </w:r>
    </w:p>
    <w:p>
      <w:pPr>
        <w:pStyle w:val="3"/>
        <w:spacing w:line="540" w:lineRule="exact"/>
        <w:ind w:firstLine="640" w:firstLineChars="200"/>
        <w:rPr>
          <w:rFonts w:hint="eastAsia" w:eastAsia="仿宋_GB2312"/>
          <w:sz w:val="32"/>
        </w:rPr>
      </w:pPr>
      <w:r>
        <w:rPr>
          <w:rFonts w:hint="eastAsia" w:eastAsia="仿宋_GB2312"/>
          <w:sz w:val="32"/>
        </w:rPr>
        <w:t>HG24007号地块“标准地”增加约定条款：</w:t>
      </w:r>
    </w:p>
    <w:p>
      <w:pPr>
        <w:pStyle w:val="3"/>
        <w:spacing w:line="540" w:lineRule="exact"/>
        <w:ind w:firstLine="640" w:firstLineChars="200"/>
        <w:rPr>
          <w:rFonts w:hint="eastAsia" w:eastAsia="仿宋_GB2312"/>
          <w:sz w:val="32"/>
        </w:rPr>
      </w:pPr>
      <w:r>
        <w:rPr>
          <w:rFonts w:hint="eastAsia" w:eastAsia="仿宋_GB2312"/>
          <w:sz w:val="32"/>
        </w:rPr>
        <w:t>A05路以东、光谷大道以南、携康电子以西、B06路以北A-02地块：</w:t>
      </w:r>
    </w:p>
    <w:p>
      <w:pPr>
        <w:pStyle w:val="3"/>
        <w:spacing w:line="540" w:lineRule="exact"/>
        <w:ind w:firstLine="640" w:firstLineChars="200"/>
        <w:rPr>
          <w:rFonts w:hint="eastAsia" w:eastAsia="仿宋_GB2312"/>
          <w:sz w:val="32"/>
        </w:rPr>
      </w:pPr>
      <w:r>
        <w:rPr>
          <w:rFonts w:hint="eastAsia" w:eastAsia="仿宋_GB2312"/>
          <w:sz w:val="32"/>
        </w:rPr>
        <w:t>行业及投资条件：主要生产数控车床、龙门加工中心、磨床等产品，固定资产投资强度≥300万元/亩，土地税收≥25万元/亩，计划2024年8月份开工，2025年8月完工。</w:t>
      </w:r>
    </w:p>
    <w:p>
      <w:pPr>
        <w:pStyle w:val="3"/>
        <w:spacing w:line="540" w:lineRule="exact"/>
        <w:ind w:firstLine="640" w:firstLineChars="200"/>
        <w:rPr>
          <w:rFonts w:hint="eastAsia" w:eastAsia="仿宋_GB2312"/>
          <w:sz w:val="32"/>
        </w:rPr>
      </w:pPr>
      <w:r>
        <w:rPr>
          <w:rFonts w:hint="eastAsia" w:eastAsia="仿宋_GB2312"/>
          <w:sz w:val="32"/>
        </w:rPr>
        <w:t>环保条件：项目排放的各类污染物必须达到国家及地方排放标准，且排放污水必须经过预处理后进入污水处理厂进一步处理。项目必须在周围敏感点（学校、福利院、居民区等）设置环境保护距离。</w:t>
      </w:r>
    </w:p>
    <w:p>
      <w:pPr>
        <w:pStyle w:val="3"/>
        <w:spacing w:line="540" w:lineRule="exact"/>
        <w:ind w:firstLine="640" w:firstLineChars="200"/>
        <w:rPr>
          <w:rFonts w:hint="eastAsia" w:eastAsia="仿宋_GB2312"/>
          <w:sz w:val="32"/>
        </w:rPr>
      </w:pPr>
      <w:r>
        <w:rPr>
          <w:rFonts w:hint="eastAsia" w:eastAsia="仿宋_GB2312"/>
          <w:sz w:val="32"/>
        </w:rPr>
        <w:t>HG24008号地块“标准地”增加约定条款：</w:t>
      </w:r>
    </w:p>
    <w:p>
      <w:pPr>
        <w:pStyle w:val="3"/>
        <w:spacing w:line="540" w:lineRule="exact"/>
        <w:ind w:firstLine="640" w:firstLineChars="200"/>
        <w:rPr>
          <w:rFonts w:hint="eastAsia" w:eastAsia="仿宋_GB2312"/>
          <w:sz w:val="32"/>
        </w:rPr>
      </w:pPr>
      <w:r>
        <w:rPr>
          <w:rFonts w:hint="eastAsia" w:eastAsia="仿宋_GB2312"/>
          <w:sz w:val="32"/>
        </w:rPr>
        <w:t>三岔路以西、G106国道西段以北、规划道路以东地块：</w:t>
      </w:r>
    </w:p>
    <w:p>
      <w:pPr>
        <w:pStyle w:val="3"/>
        <w:spacing w:line="540" w:lineRule="exact"/>
        <w:ind w:firstLine="640" w:firstLineChars="200"/>
        <w:rPr>
          <w:rFonts w:hint="eastAsia" w:eastAsia="仿宋_GB2312"/>
          <w:sz w:val="32"/>
        </w:rPr>
      </w:pPr>
      <w:r>
        <w:rPr>
          <w:rFonts w:hint="eastAsia" w:eastAsia="仿宋_GB2312"/>
          <w:sz w:val="32"/>
        </w:rPr>
        <w:t>行业及投资条件：主要生产新能源汽车零部件、汽车模具、数控机床等产品。固定资产投资强度≥300万元/亩，土地税收≥25万元/亩，计划2024年9月份开工，2026年9月完工。</w:t>
      </w:r>
    </w:p>
    <w:p>
      <w:pPr>
        <w:pStyle w:val="3"/>
        <w:spacing w:line="540" w:lineRule="exact"/>
        <w:ind w:firstLine="640" w:firstLineChars="200"/>
        <w:rPr>
          <w:rFonts w:hint="eastAsia" w:eastAsia="仿宋_GB2312"/>
          <w:sz w:val="32"/>
        </w:rPr>
      </w:pPr>
      <w:r>
        <w:rPr>
          <w:rFonts w:hint="eastAsia" w:eastAsia="仿宋_GB2312"/>
          <w:sz w:val="32"/>
        </w:rPr>
        <w:t>环保条件：项目排放的各类污染物必须达到国家及地方排放标准，且排放污水必须经过预处理后进入污水处理厂进一步处理。项目必须在周围敏感点（学校、福利院、居民区等）设置环境保护距离。</w:t>
      </w:r>
    </w:p>
    <w:p>
      <w:pPr>
        <w:pStyle w:val="3"/>
        <w:spacing w:line="540" w:lineRule="exact"/>
        <w:ind w:firstLine="640" w:firstLineChars="200"/>
        <w:rPr>
          <w:rFonts w:hint="eastAsia" w:ascii="仿宋_GB2312" w:hAnsi="仿宋_GB2312" w:eastAsia="仿宋_GB2312" w:cs="仿宋_GB2312"/>
        </w:rPr>
      </w:pPr>
      <w:r>
        <w:rPr>
          <w:rFonts w:hint="eastAsia" w:eastAsia="仿宋_GB2312"/>
          <w:sz w:val="32"/>
        </w:rPr>
        <w:t>（六）上述宗地以现状挂牌出让，实际勘测交付面积与挂牌出让文件标明的出让面积差异率在1%以内的，面积差异不影响成交价款</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五、竞买资格及要求</w:t>
      </w:r>
    </w:p>
    <w:p>
      <w:pPr>
        <w:pStyle w:val="7"/>
        <w:widowControl/>
        <w:spacing w:line="540" w:lineRule="exact"/>
        <w:ind w:firstLine="64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中华人民共和国境内外的法人、自然人和其他组织均可申请参加，申请人可以单独申请，也可以联合申请。竞买申请人在参与网上挂牌交易活动期间须在“信用中国”网站（http://www.creditchina.gov.cn）无失信记录，若存在失信记录参加竞买活动的，其竞买申请为无效申请，竞买申请人自行承担相关法律后果。</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732" w:firstLineChars="229"/>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凡存在伪造公文骗取用地手续和非法倒卖土地等犯罪行为、非法转让土地使用权等违法行为、因企业原因造成土地闲置一年以上、违背出让合同约定条件开发利用、擅自改变保障性安居工程用地用途搞商品房开发、拖欠土地出让金等情形之一的企业或个人，在违法违规违约行为处理完毕之前，该企业（包括其控股股东及其控股股东新设企业）或个人不能参加竞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732" w:firstLineChars="229"/>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六、本次国有建设用地使用权挂牌出让只能在互联网上通过开发区•铁山区公共资源交易中心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只接受网上报名、网上竞买申请及报价。竞买人的网上竞买报价一经系统确认，不能修改或撤回。</w:t>
      </w:r>
    </w:p>
    <w:p>
      <w:pPr>
        <w:keepNext w:val="0"/>
        <w:keepLines w:val="0"/>
        <w:pageBreakBefore w:val="0"/>
        <w:widowControl w:val="0"/>
        <w:kinsoku/>
        <w:wordWrap/>
        <w:overflowPunct/>
        <w:autoSpaceDE/>
        <w:autoSpaceDN/>
        <w:bidi w:val="0"/>
        <w:adjustRightInd/>
        <w:spacing w:line="480" w:lineRule="exact"/>
        <w:ind w:firstLine="576" w:firstLineChars="18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不接受电话、邮寄、书面、口头等其他方式的竞买申请和报价。</w:t>
      </w:r>
    </w:p>
    <w:p>
      <w:pPr>
        <w:keepNext w:val="0"/>
        <w:keepLines w:val="0"/>
        <w:pageBreakBefore w:val="0"/>
        <w:widowControl w:val="0"/>
        <w:kinsoku/>
        <w:wordWrap/>
        <w:overflowPunct/>
        <w:autoSpaceDE/>
        <w:autoSpaceDN/>
        <w:bidi w:val="0"/>
        <w:adjustRightInd/>
        <w:spacing w:line="480" w:lineRule="exact"/>
        <w:ind w:firstLine="576" w:firstLineChars="18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交纳竞买保证金的截止时间为202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7</w:t>
      </w:r>
      <w:r>
        <w:rPr>
          <w:rFonts w:hint="eastAsia"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27</w:t>
      </w:r>
      <w:r>
        <w:rPr>
          <w:rFonts w:hint="eastAsia" w:ascii="Times New Roman" w:hAnsi="Times New Roman" w:eastAsia="仿宋_GB2312" w:cs="Times New Roman"/>
          <w:sz w:val="32"/>
          <w:szCs w:val="24"/>
        </w:rPr>
        <w:t>日16时（收款单位：黄石经济技术开发区•铁山区公共资源交易中心；开户行：中国银行股份有限公司黄石分行；账号：随机自动生成账号），竞买人必须全部接受网上挂牌出让条件和挂牌文件，并按规定交纳竞买保证金后，方可参与竞买。</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竞买人在网上交易系统点击“申购”,通过交易系统在</w:t>
      </w:r>
      <w:r>
        <w:rPr>
          <w:rFonts w:hint="eastAsia" w:ascii="Times New Roman" w:hAnsi="Times New Roman" w:eastAsia="仿宋_GB2312" w:cs="Times New Roman"/>
          <w:b/>
          <w:sz w:val="32"/>
          <w:szCs w:val="24"/>
        </w:rPr>
        <w:t>202</w:t>
      </w:r>
      <w:r>
        <w:rPr>
          <w:rFonts w:hint="eastAsia" w:ascii="Times New Roman" w:hAnsi="Times New Roman" w:eastAsia="仿宋_GB2312" w:cs="Times New Roman"/>
          <w:b/>
          <w:sz w:val="32"/>
          <w:szCs w:val="24"/>
          <w:lang w:val="en-US" w:eastAsia="zh-CN"/>
        </w:rPr>
        <w:t>4</w:t>
      </w:r>
      <w:r>
        <w:rPr>
          <w:rFonts w:hint="eastAsia" w:ascii="Times New Roman" w:hAnsi="Times New Roman" w:eastAsia="仿宋_GB2312" w:cs="Times New Roman"/>
          <w:b/>
          <w:sz w:val="32"/>
          <w:szCs w:val="24"/>
        </w:rPr>
        <w:t>年</w:t>
      </w:r>
      <w:r>
        <w:rPr>
          <w:rFonts w:hint="eastAsia" w:ascii="Times New Roman" w:hAnsi="Times New Roman" w:eastAsia="仿宋_GB2312" w:cs="Times New Roman"/>
          <w:b/>
          <w:sz w:val="32"/>
          <w:szCs w:val="24"/>
          <w:lang w:val="en-US" w:eastAsia="zh-CN"/>
        </w:rPr>
        <w:t>7</w:t>
      </w:r>
      <w:r>
        <w:rPr>
          <w:rFonts w:hint="eastAsia" w:ascii="Times New Roman" w:hAnsi="Times New Roman" w:eastAsia="仿宋_GB2312" w:cs="Times New Roman"/>
          <w:b/>
          <w:sz w:val="32"/>
          <w:szCs w:val="24"/>
        </w:rPr>
        <w:t>月</w:t>
      </w:r>
      <w:r>
        <w:rPr>
          <w:rFonts w:hint="eastAsia" w:ascii="Times New Roman" w:hAnsi="Times New Roman" w:eastAsia="仿宋_GB2312" w:cs="Times New Roman"/>
          <w:b/>
          <w:sz w:val="32"/>
          <w:szCs w:val="24"/>
          <w:lang w:val="en-US" w:eastAsia="zh-CN"/>
        </w:rPr>
        <w:t>27</w:t>
      </w:r>
      <w:r>
        <w:rPr>
          <w:rFonts w:hint="eastAsia" w:ascii="Times New Roman" w:hAnsi="Times New Roman" w:eastAsia="仿宋_GB2312" w:cs="Times New Roman"/>
          <w:b/>
          <w:sz w:val="32"/>
          <w:szCs w:val="24"/>
        </w:rPr>
        <w:t>日16时前</w:t>
      </w:r>
      <w:r>
        <w:rPr>
          <w:rFonts w:hint="eastAsia" w:ascii="Times New Roman" w:hAnsi="Times New Roman" w:eastAsia="仿宋_GB2312" w:cs="Times New Roman"/>
          <w:b/>
          <w:sz w:val="32"/>
          <w:szCs w:val="24"/>
          <w:lang w:eastAsia="zh-CN"/>
        </w:rPr>
        <w:t>，</w:t>
      </w:r>
      <w:r>
        <w:rPr>
          <w:rFonts w:hint="eastAsia" w:ascii="Times New Roman" w:hAnsi="Times New Roman" w:eastAsia="仿宋_GB2312" w:cs="Times New Roman"/>
          <w:b/>
          <w:sz w:val="32"/>
          <w:szCs w:val="24"/>
        </w:rPr>
        <w:t>足额将竞买保证金汇入我中心指定的保证金账户。</w:t>
      </w:r>
      <w:r>
        <w:rPr>
          <w:rFonts w:hint="eastAsia" w:ascii="Times New Roman" w:hAnsi="Times New Roman" w:eastAsia="仿宋_GB2312" w:cs="Times New Roman"/>
          <w:b/>
          <w:bCs/>
          <w:sz w:val="32"/>
          <w:szCs w:val="24"/>
        </w:rPr>
        <w:t>竞买保证金到账时间以银行保证金缴存信息到达开发区</w:t>
      </w:r>
      <w:r>
        <w:rPr>
          <w:rFonts w:hint="eastAsia" w:ascii="宋体" w:hAnsi="宋体" w:eastAsia="宋体" w:cs="宋体"/>
          <w:b/>
          <w:bCs/>
          <w:sz w:val="32"/>
          <w:szCs w:val="24"/>
        </w:rPr>
        <w:t>•</w:t>
      </w:r>
      <w:r>
        <w:rPr>
          <w:rFonts w:hint="eastAsia" w:ascii="Times New Roman" w:hAnsi="Times New Roman" w:eastAsia="仿宋_GB2312" w:cs="Times New Roman"/>
          <w:b/>
          <w:bCs/>
          <w:sz w:val="32"/>
          <w:szCs w:val="24"/>
        </w:rPr>
        <w:t>铁山区</w:t>
      </w:r>
      <w:r>
        <w:rPr>
          <w:rFonts w:hint="eastAsia" w:ascii="Times New Roman" w:hAnsi="Times New Roman" w:eastAsia="仿宋_GB2312" w:cs="Times New Roman"/>
          <w:b/>
          <w:bCs/>
          <w:sz w:val="32"/>
          <w:szCs w:val="24"/>
          <w:lang w:eastAsia="zh-CN"/>
        </w:rPr>
        <w:t>公共资源</w:t>
      </w:r>
      <w:r>
        <w:rPr>
          <w:rFonts w:hint="eastAsia" w:ascii="Times New Roman" w:hAnsi="Times New Roman" w:eastAsia="仿宋_GB2312" w:cs="Times New Roman"/>
          <w:b/>
          <w:bCs/>
          <w:sz w:val="32"/>
          <w:szCs w:val="24"/>
        </w:rPr>
        <w:t>电子交易系统时间为准。竞买人应充分考虑竞买保证金转账的在途时间以及节假日期间银行转账问题，适当提前缴存，以免因系统的贻误不能获取竞买资格。</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七、竞买申请</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我中心将通过黄石市公共资源交易网（http://www.</w:t>
      </w:r>
      <w:r>
        <w:rPr>
          <w:rFonts w:ascii="Times New Roman" w:hAnsi="Times New Roman" w:eastAsia="仿宋_GB2312" w:cs="Times New Roman"/>
          <w:sz w:val="32"/>
          <w:szCs w:val="24"/>
        </w:rPr>
        <w:t xml:space="preserve"> hsztbzx.com</w:t>
      </w:r>
      <w:r>
        <w:rPr>
          <w:rFonts w:hint="eastAsia" w:ascii="Times New Roman" w:hAnsi="Times New Roman" w:eastAsia="仿宋_GB2312" w:cs="Times New Roman"/>
          <w:sz w:val="32"/>
          <w:szCs w:val="24"/>
        </w:rPr>
        <w:t>/front/project/9005000000）交易信息“国有土地出让”中开发区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铁山区（中国银行）栏目发布网上挂牌出让相关文件。有意竞买者须登陆该系统，在网上浏览或下载本次挂牌出让文件，网上挂牌出让文件具体包括：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（一）《国有建设用地使用权网上挂牌出让公告》</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以下简称《出让公告》</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（二）《国有建设用地使用权网上挂牌出让须知》</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以下简称《出让须知》</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（三）竞买申请书；</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（四）挂牌出让宗地规划条件控制文本及规划图；</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（五）《国有建设用地网上挂牌出让成交确认书》</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以下简称《成交确认书》</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六</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出让地块审批图；</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（七）拟成立新公司开发建设申请书；</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rPr>
        <w:t>（八）授权委托书</w:t>
      </w:r>
      <w:r>
        <w:rPr>
          <w:rFonts w:hint="eastAsia" w:ascii="Times New Roman" w:hAnsi="Times New Roman" w:eastAsia="仿宋_GB2312" w:cs="Times New Roman"/>
          <w:sz w:val="32"/>
          <w:szCs w:val="24"/>
          <w:lang w:eastAsia="zh-CN"/>
        </w:rPr>
        <w:t>。</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autoSpaceDE/>
        <w:autoSpaceDN/>
        <w:bidi w:val="0"/>
        <w:adjustRightInd/>
        <w:spacing w:line="480" w:lineRule="exact"/>
        <w:ind w:firstLine="736" w:firstLineChars="23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八、资格审查</w:t>
      </w:r>
    </w:p>
    <w:p>
      <w:pPr>
        <w:keepNext w:val="0"/>
        <w:keepLines w:val="0"/>
        <w:pageBreakBefore w:val="0"/>
        <w:widowControl w:val="0"/>
        <w:kinsoku/>
        <w:wordWrap/>
        <w:overflowPunct/>
        <w:autoSpaceDE/>
        <w:autoSpaceDN/>
        <w:bidi w:val="0"/>
        <w:adjustRightInd/>
        <w:spacing w:line="480" w:lineRule="exact"/>
        <w:ind w:firstLine="736" w:firstLineChars="23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autoSpaceDE/>
        <w:autoSpaceDN/>
        <w:bidi w:val="0"/>
        <w:adjustRightInd/>
        <w:spacing w:line="480" w:lineRule="exact"/>
        <w:ind w:firstLine="576" w:firstLineChars="18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经审查，有下列情形之一的，为无效申请：</w:t>
      </w:r>
    </w:p>
    <w:p>
      <w:pPr>
        <w:keepNext w:val="0"/>
        <w:keepLines w:val="0"/>
        <w:pageBreakBefore w:val="0"/>
        <w:widowControl w:val="0"/>
        <w:kinsoku/>
        <w:wordWrap/>
        <w:overflowPunct/>
        <w:autoSpaceDE/>
        <w:autoSpaceDN/>
        <w:bidi w:val="0"/>
        <w:adjustRightInd/>
        <w:spacing w:line="480" w:lineRule="exact"/>
        <w:ind w:firstLine="42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（一）申请人不具备竞买资格的；</w:t>
      </w:r>
    </w:p>
    <w:p>
      <w:pPr>
        <w:keepNext w:val="0"/>
        <w:keepLines w:val="0"/>
        <w:pageBreakBefore w:val="0"/>
        <w:widowControl w:val="0"/>
        <w:kinsoku/>
        <w:wordWrap/>
        <w:overflowPunct/>
        <w:autoSpaceDE/>
        <w:autoSpaceDN/>
        <w:bidi w:val="0"/>
        <w:adjustRightInd/>
        <w:spacing w:line="480" w:lineRule="exact"/>
        <w:ind w:firstLine="42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（二）未按规定交纳竞买保证金的；</w:t>
      </w:r>
    </w:p>
    <w:p>
      <w:pPr>
        <w:keepNext w:val="0"/>
        <w:keepLines w:val="0"/>
        <w:pageBreakBefore w:val="0"/>
        <w:widowControl w:val="0"/>
        <w:kinsoku/>
        <w:wordWrap/>
        <w:overflowPunct/>
        <w:autoSpaceDE/>
        <w:autoSpaceDN/>
        <w:bidi w:val="0"/>
        <w:adjustRightInd/>
        <w:spacing w:line="480" w:lineRule="exact"/>
        <w:ind w:firstLine="42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（三）申请文件不齐全或不符合规定的；</w:t>
      </w:r>
    </w:p>
    <w:p>
      <w:pPr>
        <w:keepNext w:val="0"/>
        <w:keepLines w:val="0"/>
        <w:pageBreakBefore w:val="0"/>
        <w:widowControl w:val="0"/>
        <w:kinsoku/>
        <w:wordWrap/>
        <w:overflowPunct/>
        <w:autoSpaceDE/>
        <w:autoSpaceDN/>
        <w:bidi w:val="0"/>
        <w:adjustRightInd/>
        <w:spacing w:line="480" w:lineRule="exact"/>
        <w:ind w:firstLine="42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（四）法律法规规定的其他情形。</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九、答疑及现场踏勘</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竞买人必须全面阅读有关网上挂牌出让文件，对挂牌文件及宗地现状有疑问的，可通过电话向开发区﹒铁山区公共资源交易中心咨询，开发区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铁山区公共资源交易中心及时就咨询事项给予答复</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咨询电话：6393488</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。也可向开发区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铁山区自然资源和规划分局及开发区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铁山区公共资源交易中心申请组织现场踏勘。</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十、本次挂牌出让活动有关时间具体如下：</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1、挂牌起始时间：202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7</w:t>
      </w:r>
      <w:r>
        <w:rPr>
          <w:rFonts w:hint="eastAsia"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18</w:t>
      </w:r>
      <w:r>
        <w:rPr>
          <w:rFonts w:hint="eastAsia" w:ascii="Times New Roman" w:hAnsi="Times New Roman" w:eastAsia="仿宋_GB2312" w:cs="Times New Roman"/>
          <w:sz w:val="32"/>
          <w:szCs w:val="24"/>
        </w:rPr>
        <w:t>日上午10时；</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2、挂牌截止时间：202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7</w:t>
      </w:r>
      <w:r>
        <w:rPr>
          <w:rFonts w:hint="eastAsia"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29</w:t>
      </w:r>
      <w:r>
        <w:rPr>
          <w:rFonts w:hint="eastAsia" w:ascii="Times New Roman" w:hAnsi="Times New Roman" w:eastAsia="仿宋_GB2312" w:cs="Times New Roman"/>
          <w:sz w:val="32"/>
          <w:szCs w:val="24"/>
        </w:rPr>
        <w:t>日上午10时。</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十一、挂牌程序</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（一）在中国土地市场网、黄石市公共资源交易网、黄石日报等网站和媒体发布网上挂牌出让公告、出让宗地相关信息；</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（二）在挂牌期内，有意竞买者通过注册申请并缴纳竞买保证金至指定账户后，取得竞买资格；</w:t>
      </w:r>
    </w:p>
    <w:p>
      <w:pPr>
        <w:keepNext w:val="0"/>
        <w:keepLines w:val="0"/>
        <w:pageBreakBefore w:val="0"/>
        <w:widowControl w:val="0"/>
        <w:kinsoku/>
        <w:wordWrap/>
        <w:overflowPunct/>
        <w:autoSpaceDE/>
        <w:autoSpaceDN/>
        <w:bidi w:val="0"/>
        <w:adjustRightInd/>
        <w:spacing w:line="48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（三）竞买人在挂牌期内参与竞买，报价经系统确认无误后即显示为当前报价；</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（四）网上交易系统根据挂牌截止时的最高报价且不低于底价的自动确定竞得人，竞得人可以下载系统生成的《成交确认书》及相关文件。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autoSpaceDE/>
        <w:autoSpaceDN/>
        <w:bidi w:val="0"/>
        <w:adjustRightInd/>
        <w:spacing w:line="480" w:lineRule="exact"/>
        <w:ind w:firstLine="566" w:firstLineChars="177"/>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（五）出让结果公布</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铁山区自然资源和规划分局将在此次国有土地使用权挂牌出让活动结束后10个工作日内，在中国土地市场网、黄石市公共资源交易网等网站上公布本次国有建设用地使用权网上挂牌出让结果。</w:t>
      </w:r>
    </w:p>
    <w:p>
      <w:pPr>
        <w:pStyle w:val="4"/>
        <w:keepNext w:val="0"/>
        <w:keepLines w:val="0"/>
        <w:pageBreakBefore w:val="0"/>
        <w:widowControl w:val="0"/>
        <w:numPr>
          <w:ilvl w:val="0"/>
          <w:numId w:val="1"/>
        </w:numPr>
        <w:kinsoku/>
        <w:wordWrap/>
        <w:overflowPunct/>
        <w:autoSpaceDE/>
        <w:autoSpaceDN/>
        <w:bidi w:val="0"/>
        <w:adjustRightInd/>
        <w:spacing w:line="480" w:lineRule="exact"/>
        <w:rPr>
          <w:rFonts w:hint="eastAsia" w:ascii="Times New Roman" w:hAnsi="Times New Roman" w:cs="Times New Roman"/>
          <w:szCs w:val="24"/>
        </w:rPr>
      </w:pPr>
      <w:r>
        <w:rPr>
          <w:rFonts w:hint="eastAsia" w:ascii="Times New Roman" w:hAnsi="Times New Roman" w:cs="Times New Roman"/>
          <w:szCs w:val="24"/>
        </w:rPr>
        <w:t>本次网上挂牌出让交易的报价规则详见黄石市公共资源交易中心网“国有土地出让”栏目网上交易系统上发布的《黄石市关于国有建设用地使用权网上挂牌出让规则》第四章、第五章。</w:t>
      </w:r>
    </w:p>
    <w:p>
      <w:pPr>
        <w:pStyle w:val="4"/>
        <w:keepNext w:val="0"/>
        <w:keepLines w:val="0"/>
        <w:pageBreakBefore w:val="0"/>
        <w:widowControl w:val="0"/>
        <w:numPr>
          <w:ilvl w:val="0"/>
          <w:numId w:val="0"/>
        </w:numPr>
        <w:kinsoku/>
        <w:wordWrap/>
        <w:overflowPunct/>
        <w:autoSpaceDE/>
        <w:autoSpaceDN/>
        <w:bidi w:val="0"/>
        <w:adjustRightInd/>
        <w:spacing w:line="480" w:lineRule="exact"/>
        <w:ind w:firstLine="640" w:firstLineChars="200"/>
        <w:rPr>
          <w:rFonts w:ascii="Times New Roman" w:hAnsi="Times New Roman" w:cs="Times New Roman"/>
          <w:szCs w:val="24"/>
        </w:rPr>
      </w:pPr>
      <w:r>
        <w:rPr>
          <w:rFonts w:hint="eastAsia" w:ascii="Times New Roman" w:hAnsi="Times New Roman" w:cs="Times New Roman"/>
          <w:szCs w:val="24"/>
        </w:rPr>
        <w:t>（一）</w:t>
      </w:r>
      <w:r>
        <w:rPr>
          <w:rFonts w:ascii="Times New Roman" w:hAnsi="Times New Roman" w:cs="Times New Roman"/>
          <w:szCs w:val="24"/>
        </w:rPr>
        <w:t>宗地的竞买保证金为：</w:t>
      </w:r>
    </w:p>
    <w:p>
      <w:pPr>
        <w:pStyle w:val="4"/>
        <w:keepNext w:val="0"/>
        <w:keepLines w:val="0"/>
        <w:pageBreakBefore w:val="0"/>
        <w:widowControl w:val="0"/>
        <w:numPr>
          <w:ilvl w:val="0"/>
          <w:numId w:val="0"/>
        </w:numPr>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HG24006号地块为人民币大写肆佰万元整（￥：4000000元）；</w:t>
      </w:r>
    </w:p>
    <w:p>
      <w:pPr>
        <w:pStyle w:val="4"/>
        <w:keepNext w:val="0"/>
        <w:keepLines w:val="0"/>
        <w:pageBreakBefore w:val="0"/>
        <w:widowControl w:val="0"/>
        <w:numPr>
          <w:ilvl w:val="0"/>
          <w:numId w:val="0"/>
        </w:numPr>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HG24007号地块为人民币大写贰佰伍拾玖万元整（￥：2590000元）；</w:t>
      </w:r>
    </w:p>
    <w:p>
      <w:pPr>
        <w:pStyle w:val="4"/>
        <w:keepNext w:val="0"/>
        <w:keepLines w:val="0"/>
        <w:pageBreakBefore w:val="0"/>
        <w:widowControl w:val="0"/>
        <w:numPr>
          <w:ilvl w:val="0"/>
          <w:numId w:val="0"/>
        </w:numPr>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HG24008号地块为人民币大写壹仟玖佰贰拾万元整（￥：19200000元）</w:t>
      </w:r>
      <w:r>
        <w:rPr>
          <w:rFonts w:hint="eastAsia" w:hAnsi="仿宋_GB2312" w:cs="仿宋_GB2312"/>
          <w:kern w:val="2"/>
          <w:sz w:val="32"/>
          <w:szCs w:val="24"/>
          <w:lang w:val="en-US" w:eastAsia="zh-CN" w:bidi="ar-SA"/>
        </w:rPr>
        <w:t>。</w:t>
      </w:r>
    </w:p>
    <w:p>
      <w:pPr>
        <w:pStyle w:val="4"/>
        <w:keepNext w:val="0"/>
        <w:keepLines w:val="0"/>
        <w:pageBreakBefore w:val="0"/>
        <w:widowControl w:val="0"/>
        <w:numPr>
          <w:ilvl w:val="0"/>
          <w:numId w:val="0"/>
        </w:numPr>
        <w:kinsoku/>
        <w:wordWrap/>
        <w:overflowPunct/>
        <w:autoSpaceDE/>
        <w:autoSpaceDN/>
        <w:bidi w:val="0"/>
        <w:adjustRightInd/>
        <w:spacing w:line="480" w:lineRule="exact"/>
        <w:ind w:firstLine="640" w:firstLineChars="200"/>
        <w:rPr>
          <w:rFonts w:hint="eastAsia" w:ascii="Times New Roman" w:hAnsi="Times New Roman" w:cs="Times New Roman"/>
          <w:szCs w:val="24"/>
        </w:rPr>
      </w:pPr>
      <w:r>
        <w:rPr>
          <w:rFonts w:hint="eastAsia" w:ascii="Times New Roman" w:hAnsi="Times New Roman" w:cs="Times New Roman"/>
          <w:szCs w:val="24"/>
          <w:lang w:eastAsia="zh-CN"/>
        </w:rPr>
        <w:t>（二）</w:t>
      </w:r>
      <w:r>
        <w:rPr>
          <w:rFonts w:hint="eastAsia" w:ascii="Times New Roman" w:hAnsi="Times New Roman" w:cs="Times New Roman"/>
          <w:szCs w:val="24"/>
        </w:rPr>
        <w:t xml:space="preserve">、宗地的出让起始价、增价幅度 </w:t>
      </w:r>
    </w:p>
    <w:p>
      <w:pPr>
        <w:keepNext w:val="0"/>
        <w:keepLines w:val="0"/>
        <w:pageBreakBefore w:val="0"/>
        <w:widowControl w:val="0"/>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HG24006号地块：出让起始价为人民币大写捌佰万元整（￥：8000000元整）；</w:t>
      </w:r>
    </w:p>
    <w:p>
      <w:pPr>
        <w:keepNext w:val="0"/>
        <w:keepLines w:val="0"/>
        <w:pageBreakBefore w:val="0"/>
        <w:widowControl w:val="0"/>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HG24007号地块：出让起始价为人民币大写伍佰壹拾捌万元整（￥：5180000元整）；</w:t>
      </w:r>
    </w:p>
    <w:p>
      <w:pPr>
        <w:keepNext w:val="0"/>
        <w:keepLines w:val="0"/>
        <w:pageBreakBefore w:val="0"/>
        <w:widowControl w:val="0"/>
        <w:kinsoku/>
        <w:wordWrap/>
        <w:overflowPunct/>
        <w:autoSpaceDE/>
        <w:autoSpaceDN/>
        <w:bidi w:val="0"/>
        <w:adjustRightInd/>
        <w:spacing w:line="48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HG24008号地块：出让起始价为人民币大写叁仟捌佰肆拾万元整（￥：38400000元整）；</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eastAsia="仿宋_GB2312"/>
          <w:sz w:val="32"/>
        </w:rPr>
      </w:pPr>
      <w:r>
        <w:rPr>
          <w:rFonts w:hint="eastAsia" w:ascii="仿宋_GB2312" w:hAnsi="仿宋_GB2312" w:eastAsia="仿宋_GB2312" w:cs="仿宋_GB2312"/>
          <w:kern w:val="2"/>
          <w:sz w:val="32"/>
          <w:szCs w:val="24"/>
          <w:lang w:val="en-US" w:eastAsia="zh-CN" w:bidi="ar-SA"/>
        </w:rPr>
        <w:t>增价幅度均为人民币大写壹拾万元或壹拾万元的整倍数</w:t>
      </w:r>
      <w:r>
        <w:rPr>
          <w:rFonts w:hint="eastAsia" w:ascii="Times New Roman" w:eastAsia="仿宋_GB2312"/>
          <w:sz w:val="32"/>
        </w:rPr>
        <w:t>。</w:t>
      </w:r>
    </w:p>
    <w:p>
      <w:pPr>
        <w:keepNext w:val="0"/>
        <w:keepLines w:val="0"/>
        <w:pageBreakBefore w:val="0"/>
        <w:widowControl w:val="0"/>
        <w:numPr>
          <w:ilvl w:val="0"/>
          <w:numId w:val="2"/>
        </w:numPr>
        <w:kinsoku/>
        <w:wordWrap/>
        <w:overflowPunct/>
        <w:autoSpaceDE/>
        <w:autoSpaceDN/>
        <w:bidi w:val="0"/>
        <w:adjustRightInd/>
        <w:spacing w:line="48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初次报价不得低于起始价，初次报价后的每次报价应当比当前最高报价递增一个加价幅度，加价幅度不得小于本须知规定的增价幅度。</w:t>
      </w:r>
    </w:p>
    <w:p>
      <w:pPr>
        <w:keepNext w:val="0"/>
        <w:keepLines w:val="0"/>
        <w:pageBreakBefore w:val="0"/>
        <w:widowControl w:val="0"/>
        <w:numPr>
          <w:ilvl w:val="0"/>
          <w:numId w:val="2"/>
        </w:numPr>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在报价期间，竞买人可多次报价。</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（五）竞买人通过系统提交的报价一经报出，不得撤回。</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六</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竞买人报价有下列情形之一的，为无效报价：</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1、报价因竞买人网络故障未在挂牌报价期限内报价的；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2、报价不符合报价规则的；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3、报价与竞买文件不符的；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4、报价不符合挂牌文件规定的其他情形的。</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十三、注意事项</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一）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（二）申请人竞得土地后，拟成立新公司进行开发建设的，应在申请书中明确新公司的出资构成、成立时间等内容。</w:t>
      </w:r>
      <w:r>
        <w:rPr>
          <w:rFonts w:hint="eastAsia" w:ascii="Times New Roman" w:hAnsi="Times New Roman" w:eastAsia="仿宋_GB2312" w:cs="Times New Roman"/>
          <w:sz w:val="32"/>
          <w:szCs w:val="24"/>
        </w:rPr>
        <w:t>黄石市自然资源和规划局开发区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铁山区分局</w:t>
      </w:r>
      <w:r>
        <w:rPr>
          <w:rFonts w:ascii="Times New Roman" w:hAnsi="Times New Roman" w:eastAsia="仿宋_GB2312" w:cs="Times New Roman"/>
          <w:sz w:val="32"/>
          <w:szCs w:val="24"/>
        </w:rPr>
        <w:t>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autoSpaceDE/>
        <w:autoSpaceDN/>
        <w:bidi w:val="0"/>
        <w:adjustRightInd/>
        <w:spacing w:line="4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w:t>
      </w:r>
      <w:r>
        <w:rPr>
          <w:rFonts w:hint="eastAsia" w:ascii="Times New Roman" w:hAnsi="Times New Roman" w:eastAsia="仿宋_GB2312" w:cs="Times New Roman"/>
          <w:sz w:val="32"/>
          <w:szCs w:val="24"/>
        </w:rPr>
        <w:t>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铁山区自然资源和规划分</w:t>
      </w:r>
      <w:r>
        <w:rPr>
          <w:rFonts w:ascii="Times New Roman" w:hAnsi="Times New Roman" w:eastAsia="仿宋_GB2312" w:cs="Times New Roman"/>
          <w:sz w:val="32"/>
          <w:szCs w:val="24"/>
        </w:rPr>
        <w:t>局可以根据公开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autoSpaceDE/>
        <w:autoSpaceDN/>
        <w:bidi w:val="0"/>
        <w:adjustRightInd/>
        <w:spacing w:line="4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（三）本次公开出让地块均设有出让底价，在公开出让活动结束前须严格保密。</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四</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网上</w:t>
      </w:r>
      <w:r>
        <w:rPr>
          <w:rFonts w:ascii="Times New Roman" w:hAnsi="Times New Roman" w:eastAsia="仿宋_GB2312" w:cs="Times New Roman"/>
          <w:sz w:val="32"/>
          <w:szCs w:val="24"/>
        </w:rPr>
        <w:t>竞买报价一经提交，不可撤回。</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五</w:t>
      </w:r>
      <w:r>
        <w:rPr>
          <w:rFonts w:ascii="Times New Roman" w:hAnsi="Times New Roman" w:eastAsia="仿宋_GB2312" w:cs="Times New Roman"/>
          <w:sz w:val="32"/>
          <w:szCs w:val="24"/>
        </w:rPr>
        <w:t>）确定竞得人后，竞得人与</w:t>
      </w:r>
      <w:r>
        <w:rPr>
          <w:rFonts w:hint="eastAsia" w:ascii="Times New Roman" w:hAnsi="Times New Roman" w:eastAsia="仿宋_GB2312" w:cs="Times New Roman"/>
          <w:sz w:val="32"/>
          <w:szCs w:val="24"/>
        </w:rPr>
        <w:t>挂牌</w:t>
      </w:r>
      <w:r>
        <w:rPr>
          <w:rFonts w:ascii="Times New Roman" w:hAnsi="Times New Roman" w:eastAsia="仿宋_GB2312" w:cs="Times New Roman"/>
          <w:sz w:val="32"/>
          <w:szCs w:val="24"/>
        </w:rPr>
        <w:t>人签订《成交确认书》。委托他人代签的，应提交法定代表人亲笔签名并盖章的授权委托书。《成交确认书》对出让人和竞得人具有法律效力，出让人改变</w:t>
      </w:r>
      <w:r>
        <w:rPr>
          <w:rFonts w:hint="eastAsia" w:ascii="Times New Roman" w:hAnsi="Times New Roman" w:eastAsia="仿宋_GB2312" w:cs="Times New Roman"/>
          <w:sz w:val="32"/>
          <w:szCs w:val="24"/>
        </w:rPr>
        <w:t>网上</w:t>
      </w:r>
      <w:r>
        <w:rPr>
          <w:rFonts w:ascii="Times New Roman" w:hAnsi="Times New Roman" w:eastAsia="仿宋_GB2312" w:cs="Times New Roman"/>
          <w:sz w:val="32"/>
          <w:szCs w:val="24"/>
        </w:rPr>
        <w:t>出让结果的，或者竞得人放弃竞得宗地的，应当承担法律责任。</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六</w:t>
      </w:r>
      <w:r>
        <w:rPr>
          <w:rFonts w:ascii="Times New Roman" w:hAnsi="Times New Roman" w:eastAsia="仿宋_GB2312" w:cs="Times New Roman"/>
          <w:sz w:val="32"/>
          <w:szCs w:val="24"/>
        </w:rPr>
        <w:t>）竞得人交纳的竞买保证金，出让成交后</w:t>
      </w:r>
      <w:r>
        <w:rPr>
          <w:rFonts w:hint="eastAsia" w:ascii="Times New Roman" w:hAnsi="Times New Roman" w:eastAsia="仿宋_GB2312" w:cs="Times New Roman"/>
          <w:sz w:val="32"/>
          <w:szCs w:val="24"/>
        </w:rPr>
        <w:t>3个工作日内办理了</w:t>
      </w:r>
      <w:r>
        <w:rPr>
          <w:rFonts w:ascii="Times New Roman" w:hAnsi="Times New Roman" w:eastAsia="仿宋_GB2312" w:cs="Times New Roman"/>
          <w:sz w:val="32"/>
          <w:szCs w:val="24"/>
        </w:rPr>
        <w:t>《成交确认书》</w:t>
      </w:r>
      <w:r>
        <w:rPr>
          <w:rFonts w:hint="eastAsia" w:ascii="Times New Roman" w:hAnsi="Times New Roman" w:eastAsia="仿宋_GB2312" w:cs="Times New Roman"/>
          <w:sz w:val="32"/>
          <w:szCs w:val="24"/>
        </w:rPr>
        <w:t>的，</w:t>
      </w:r>
      <w:r>
        <w:rPr>
          <w:rFonts w:ascii="Times New Roman" w:hAnsi="Times New Roman" w:eastAsia="仿宋_GB2312" w:cs="Times New Roman"/>
          <w:sz w:val="32"/>
          <w:szCs w:val="24"/>
        </w:rPr>
        <w:t>保证金转作受让地块的定金。未竞得人交纳的竞买保证金，在出让活动结束后5个工作日内予以退还，不计利息。</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七</w:t>
      </w:r>
      <w:r>
        <w:rPr>
          <w:rFonts w:ascii="Times New Roman" w:hAnsi="Times New Roman" w:eastAsia="仿宋_GB2312" w:cs="Times New Roman"/>
          <w:sz w:val="32"/>
          <w:szCs w:val="24"/>
        </w:rPr>
        <w:t>）竞得人与出让人签订《国有建设用地使用权出让合同》后，应当按出让合同约定支付出让成交价款。竞得人付清全部出让成交价款后，依法申请办理土地登记</w:t>
      </w:r>
      <w:r>
        <w:rPr>
          <w:rFonts w:hint="eastAsia" w:ascii="Times New Roman" w:hAnsi="Times New Roman" w:eastAsia="仿宋_GB2312" w:cs="Times New Roman"/>
          <w:sz w:val="32"/>
          <w:szCs w:val="24"/>
        </w:rPr>
        <w:t>手续。</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（八）挂牌期满，网上挂牌出让成交确认系统根据下列条件自动确定竞得人：</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1、在挂牌期限内，只有一个竞买人报价，且报价等于或高于底价，挂牌成交；</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2、在挂牌期限内，有两个或者两个以上竞买人报价的，报价等于或高于底价，且出价最高者为竞得人；</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3、在挂牌期限内，无应价者或竞买人的报价均低于底价的，挂牌不成交；</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4、在挂牌期限截止前10分钟，竞买人必须在挂牌报价期间最少有一次报价，才能进入最后的限时报价；</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5、在挂牌期限截止时前10分钟内仍有竞买人报价的，将对挂牌宗地进行网上限时竞价，报价最高且报价等于或高于底价者为竞得人。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6、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黄石市自然资源和规划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铁山区分局通过“信用中国”网站查询竞得人是否存在失信记录并截图取证，竞得人存在失信记录的取消其竞得资格，交易结果无效，交纳的竞买保证金不予退还。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7、本次公开出让地块均设有出让底价，在公开出让活动结束前须严格保密。</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8、竞得人应当在成交之日起3个工作日办理</w:t>
      </w:r>
      <w:r>
        <w:rPr>
          <w:rFonts w:ascii="Times New Roman" w:hAnsi="Times New Roman" w:eastAsia="仿宋_GB2312" w:cs="Times New Roman"/>
          <w:sz w:val="32"/>
          <w:szCs w:val="24"/>
        </w:rPr>
        <w:t>《成交确认书》</w:t>
      </w:r>
      <w:r>
        <w:rPr>
          <w:rFonts w:hint="eastAsia" w:ascii="Times New Roman" w:hAnsi="Times New Roman" w:eastAsia="仿宋_GB2312" w:cs="Times New Roman"/>
          <w:sz w:val="32"/>
          <w:szCs w:val="24"/>
        </w:rPr>
        <w:t>。同时将竞买保证金转作受让地块的定金；在规定时间内未办理</w:t>
      </w:r>
      <w:r>
        <w:rPr>
          <w:rFonts w:ascii="Times New Roman" w:hAnsi="Times New Roman" w:eastAsia="仿宋_GB2312" w:cs="Times New Roman"/>
          <w:sz w:val="32"/>
          <w:szCs w:val="24"/>
        </w:rPr>
        <w:t>《成交确认书》</w:t>
      </w:r>
      <w:r>
        <w:rPr>
          <w:rFonts w:hint="eastAsia" w:ascii="Times New Roman" w:hAnsi="Times New Roman" w:eastAsia="仿宋_GB2312" w:cs="Times New Roman"/>
          <w:sz w:val="32"/>
          <w:szCs w:val="24"/>
        </w:rPr>
        <w:t>的，保证金不予退还并</w:t>
      </w:r>
      <w:r>
        <w:rPr>
          <w:rFonts w:ascii="Times New Roman" w:hAnsi="Times New Roman" w:eastAsia="仿宋_GB2312" w:cs="Times New Roman"/>
          <w:sz w:val="32"/>
          <w:szCs w:val="24"/>
        </w:rPr>
        <w:t>承担法律责任</w:t>
      </w:r>
      <w:r>
        <w:rPr>
          <w:rFonts w:hint="eastAsia" w:ascii="Times New Roman" w:hAnsi="Times New Roman" w:eastAsia="仿宋_GB2312" w:cs="Times New Roman"/>
          <w:sz w:val="32"/>
          <w:szCs w:val="24"/>
        </w:rPr>
        <w:t>，未竞得人的竞买保证金将于网上挂牌活动结束后5个工作日内不计利息全额退还。</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九</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有下列情形之一的，开发区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铁山区公共资源交易中心将中（终）止挂牌活动：</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1、因系统遭受破坏或发生电力、网络故障等不可抗力以及网络恶意入侵等非挂牌人因素，导致系统不能正常运行的；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2、竞买人串通损害国家利益、社会利益或他人合法权益的；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3、出让工作人员私下接触竞买人，足以影响公开出让公正性的；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4、应当依法中（终）止公开出让活动的其他情形。</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（十）竞得人有下列行为的视为违约，视为违约，挂牌人可取消其竞得人资格，竞买保证金不予退还：</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1、竞得人逾期或拒绝签订《成交确认书》的；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2、竞得人逾期或拒绝签订《国有建设用地使用权出让合同》的；</w:t>
      </w:r>
    </w:p>
    <w:p>
      <w:pPr>
        <w:keepNext w:val="0"/>
        <w:keepLines w:val="0"/>
        <w:pageBreakBefore w:val="0"/>
        <w:widowControl w:val="0"/>
        <w:kinsoku/>
        <w:wordWrap/>
        <w:overflowPunct/>
        <w:autoSpaceDE/>
        <w:autoSpaceDN/>
        <w:bidi w:val="0"/>
        <w:adjustRightInd/>
        <w:spacing w:line="48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w:t>
      </w:r>
      <w:r>
        <w:rPr>
          <w:rFonts w:hint="eastAsia" w:ascii="Times New Roman" w:hAnsi="Times New Roman" w:eastAsia="仿宋_GB2312" w:cs="Times New Roman"/>
          <w:sz w:val="32"/>
          <w:szCs w:val="24"/>
          <w:lang w:eastAsia="zh-CN"/>
        </w:rPr>
        <w:t>一</w:t>
      </w:r>
      <w:r>
        <w:rPr>
          <w:rFonts w:hint="eastAsia" w:ascii="Times New Roman" w:hAnsi="Times New Roman" w:eastAsia="仿宋_GB2312" w:cs="Times New Roman"/>
          <w:sz w:val="32"/>
          <w:szCs w:val="24"/>
        </w:rPr>
        <w:t>）竞得人有下列行为之一的，竞得结果无效，造成损失的，应当依法承担赔偿责任：</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1、采取行贿、恶意串通等非法手段竞得的；</w:t>
      </w:r>
    </w:p>
    <w:p>
      <w:pPr>
        <w:keepNext w:val="0"/>
        <w:keepLines w:val="0"/>
        <w:pageBreakBefore w:val="0"/>
        <w:widowControl w:val="0"/>
        <w:kinsoku/>
        <w:wordWrap/>
        <w:overflowPunct/>
        <w:topLinePunct/>
        <w:autoSpaceDE/>
        <w:autoSpaceDN/>
        <w:bidi w:val="0"/>
        <w:adjustRightInd/>
        <w:snapToGrid w:val="0"/>
        <w:spacing w:line="480" w:lineRule="exact"/>
        <w:ind w:left="160" w:leftChars="76" w:firstLine="480" w:firstLineChars="15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2、提供的注册信息不真实、不准确、不完整等原因造成宗地出让无法成交的；</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3、不按网上注册时登记的内容提供有关文件材料，或提供虚假文件材料、隐瞒事实，引起出让纠纷的；</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4、构成违约责任的其他行为。</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（十二）上述宗地出让成交价为宗地的总地价款。</w:t>
      </w:r>
    </w:p>
    <w:p>
      <w:pPr>
        <w:keepNext w:val="0"/>
        <w:keepLines w:val="0"/>
        <w:pageBreakBefore w:val="0"/>
        <w:widowControl w:val="0"/>
        <w:kinsoku/>
        <w:wordWrap/>
        <w:overflowPunct/>
        <w:topLinePunct/>
        <w:autoSpaceDE/>
        <w:autoSpaceDN/>
        <w:bidi w:val="0"/>
        <w:adjustRightInd/>
        <w:snapToGrid w:val="0"/>
        <w:spacing w:line="480" w:lineRule="exact"/>
        <w:ind w:firstLine="640" w:firstLineChars="200"/>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三）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autoSpaceDE/>
        <w:autoSpaceDN/>
        <w:bidi w:val="0"/>
        <w:adjustRightInd/>
        <w:snapToGrid w:val="0"/>
        <w:spacing w:line="480" w:lineRule="exact"/>
        <w:ind w:firstLine="566" w:firstLineChars="177"/>
        <w:textAlignment w:val="center"/>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（十四）公开出让不成交的，应当按规定由开发区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铁山区自然资源和规划分局组织出让。</w:t>
      </w:r>
    </w:p>
    <w:p>
      <w:pPr>
        <w:keepNext w:val="0"/>
        <w:keepLines w:val="0"/>
        <w:pageBreakBefore w:val="0"/>
        <w:widowControl w:val="0"/>
        <w:kinsoku/>
        <w:wordWrap/>
        <w:overflowPunct/>
        <w:topLinePunct/>
        <w:autoSpaceDE/>
        <w:autoSpaceDN/>
        <w:bidi w:val="0"/>
        <w:adjustRightInd/>
        <w:snapToGrid w:val="0"/>
        <w:spacing w:line="480" w:lineRule="exact"/>
        <w:ind w:firstLine="566" w:firstLineChars="177"/>
        <w:textAlignment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（十</w:t>
      </w:r>
      <w:r>
        <w:rPr>
          <w:rFonts w:hint="eastAsia" w:ascii="Times New Roman" w:hAnsi="Times New Roman" w:eastAsia="仿宋_GB2312" w:cs="Times New Roman"/>
          <w:sz w:val="32"/>
          <w:szCs w:val="24"/>
          <w:lang w:eastAsia="zh-CN"/>
        </w:rPr>
        <w:t>五</w:t>
      </w:r>
      <w:r>
        <w:rPr>
          <w:rFonts w:hint="eastAsia" w:ascii="Times New Roman" w:hAnsi="Times New Roman" w:eastAsia="仿宋_GB2312" w:cs="Times New Roman"/>
          <w:sz w:val="32"/>
          <w:szCs w:val="24"/>
        </w:rPr>
        <w:t>）开发区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w:t>
      </w:r>
      <w:bookmarkStart w:id="0" w:name="_GoBack"/>
      <w:bookmarkEnd w:id="0"/>
      <w:r>
        <w:rPr>
          <w:rFonts w:hint="eastAsia" w:ascii="Times New Roman" w:hAnsi="Times New Roman" w:eastAsia="仿宋_GB2312" w:cs="Times New Roman"/>
          <w:sz w:val="32"/>
          <w:szCs w:val="24"/>
        </w:rPr>
        <w:t>资源和规划分局和开发区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铁山区公共资源交易中心对本《出让须知》有解释权。未尽事宜依照《招标拍卖挂牌出让国有土地使用权规范》办理。</w:t>
      </w:r>
    </w:p>
    <w:p>
      <w:pPr>
        <w:keepNext w:val="0"/>
        <w:keepLines w:val="0"/>
        <w:pageBreakBefore w:val="0"/>
        <w:widowControl w:val="0"/>
        <w:kinsoku/>
        <w:wordWrap/>
        <w:overflowPunct/>
        <w:autoSpaceDE/>
        <w:autoSpaceDN/>
        <w:bidi w:val="0"/>
        <w:adjustRightInd/>
        <w:spacing w:line="480" w:lineRule="exact"/>
        <w:ind w:firstLine="4480" w:firstLineChars="1400"/>
        <w:rPr>
          <w:rFonts w:ascii="Times New Roman" w:hAnsi="Times New Roman" w:eastAsia="仿宋_GB2312" w:cs="Times New Roman"/>
          <w:sz w:val="32"/>
          <w:szCs w:val="24"/>
        </w:rPr>
      </w:pPr>
    </w:p>
    <w:p>
      <w:pPr>
        <w:keepNext w:val="0"/>
        <w:keepLines w:val="0"/>
        <w:pageBreakBefore w:val="0"/>
        <w:widowControl w:val="0"/>
        <w:kinsoku/>
        <w:wordWrap/>
        <w:overflowPunct/>
        <w:autoSpaceDE/>
        <w:autoSpaceDN/>
        <w:bidi w:val="0"/>
        <w:adjustRightInd/>
        <w:spacing w:line="480" w:lineRule="exact"/>
        <w:ind w:firstLine="1600" w:firstLineChars="5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出让人: 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铁山区自然资源和规划分局</w:t>
      </w:r>
    </w:p>
    <w:p>
      <w:pPr>
        <w:keepNext w:val="0"/>
        <w:keepLines w:val="0"/>
        <w:pageBreakBefore w:val="0"/>
        <w:widowControl w:val="0"/>
        <w:kinsoku/>
        <w:wordWrap/>
        <w:overflowPunct/>
        <w:autoSpaceDE/>
        <w:autoSpaceDN/>
        <w:bidi w:val="0"/>
        <w:adjustRightInd/>
        <w:spacing w:line="480" w:lineRule="exact"/>
        <w:ind w:firstLine="1600" w:firstLineChars="5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挂牌人：开发区</w:t>
      </w:r>
      <w:r>
        <w:rPr>
          <w:rFonts w:hint="eastAsia" w:ascii="宋体" w:hAnsi="宋体" w:eastAsia="宋体" w:cs="宋体"/>
          <w:sz w:val="32"/>
          <w:szCs w:val="24"/>
        </w:rPr>
        <w:t>•</w:t>
      </w:r>
      <w:r>
        <w:rPr>
          <w:rFonts w:hint="eastAsia" w:ascii="Times New Roman" w:hAnsi="Times New Roman" w:eastAsia="仿宋_GB2312" w:cs="Times New Roman"/>
          <w:sz w:val="32"/>
          <w:szCs w:val="24"/>
        </w:rPr>
        <w:t>铁山区公共资源交易中心</w:t>
      </w:r>
    </w:p>
    <w:p>
      <w:pPr>
        <w:keepNext w:val="0"/>
        <w:keepLines w:val="0"/>
        <w:pageBreakBefore w:val="0"/>
        <w:widowControl w:val="0"/>
        <w:kinsoku/>
        <w:wordWrap/>
        <w:overflowPunct/>
        <w:autoSpaceDE/>
        <w:autoSpaceDN/>
        <w:bidi w:val="0"/>
        <w:adjustRightInd/>
        <w:spacing w:line="480" w:lineRule="exact"/>
        <w:ind w:firstLine="4960" w:firstLineChars="1550"/>
        <w:rPr>
          <w:rFonts w:hint="eastAsia" w:ascii="Times New Roman" w:hAnsi="Times New Roman" w:eastAsia="仿宋_GB2312" w:cs="Times New Roman"/>
          <w:sz w:val="32"/>
          <w:szCs w:val="24"/>
        </w:rPr>
      </w:pPr>
    </w:p>
    <w:p>
      <w:pPr>
        <w:keepNext w:val="0"/>
        <w:keepLines w:val="0"/>
        <w:pageBreakBefore w:val="0"/>
        <w:widowControl w:val="0"/>
        <w:kinsoku/>
        <w:wordWrap/>
        <w:overflowPunct/>
        <w:autoSpaceDE/>
        <w:autoSpaceDN/>
        <w:bidi w:val="0"/>
        <w:adjustRightInd/>
        <w:spacing w:line="480" w:lineRule="exact"/>
        <w:ind w:firstLine="4960" w:firstLineChars="155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6</w:t>
      </w:r>
      <w:r>
        <w:rPr>
          <w:rFonts w:hint="eastAsia"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28</w:t>
      </w:r>
      <w:r>
        <w:rPr>
          <w:rFonts w:hint="eastAsia" w:ascii="Times New Roman" w:hAnsi="Times New Roman" w:eastAsia="仿宋_GB2312" w:cs="Times New Roman"/>
          <w:sz w:val="32"/>
          <w:szCs w:val="24"/>
        </w:rPr>
        <w:t>日</w:t>
      </w:r>
    </w:p>
    <w:sectPr>
      <w:footerReference r:id="rId3"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4B76E"/>
    <w:multiLevelType w:val="singleLevel"/>
    <w:tmpl w:val="B2D4B76E"/>
    <w:lvl w:ilvl="0" w:tentative="0">
      <w:start w:val="3"/>
      <w:numFmt w:val="chineseCounting"/>
      <w:suff w:val="nothing"/>
      <w:lvlText w:val="（%1）"/>
      <w:lvlJc w:val="left"/>
      <w:rPr>
        <w:rFonts w:hint="eastAsia"/>
      </w:rPr>
    </w:lvl>
  </w:abstractNum>
  <w:abstractNum w:abstractNumId="1">
    <w:nsid w:val="168696ED"/>
    <w:multiLevelType w:val="singleLevel"/>
    <w:tmpl w:val="168696ED"/>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xNWU0ZmEzNDM4ZGY5ODAxZGJkYjJjODk1OWU3MTgifQ=="/>
  </w:docVars>
  <w:rsids>
    <w:rsidRoot w:val="00AB0A5D"/>
    <w:rsid w:val="000008D0"/>
    <w:rsid w:val="00004F04"/>
    <w:rsid w:val="00010612"/>
    <w:rsid w:val="000155DE"/>
    <w:rsid w:val="00021714"/>
    <w:rsid w:val="00022C88"/>
    <w:rsid w:val="0003006F"/>
    <w:rsid w:val="000360C6"/>
    <w:rsid w:val="00040078"/>
    <w:rsid w:val="00046391"/>
    <w:rsid w:val="00054814"/>
    <w:rsid w:val="00063709"/>
    <w:rsid w:val="00066B38"/>
    <w:rsid w:val="00073F90"/>
    <w:rsid w:val="00075A9E"/>
    <w:rsid w:val="00080FB7"/>
    <w:rsid w:val="00082612"/>
    <w:rsid w:val="00082AA2"/>
    <w:rsid w:val="000B0EB8"/>
    <w:rsid w:val="000B1ECF"/>
    <w:rsid w:val="000B3D8B"/>
    <w:rsid w:val="000C630A"/>
    <w:rsid w:val="000D1027"/>
    <w:rsid w:val="000D10FB"/>
    <w:rsid w:val="000D77A0"/>
    <w:rsid w:val="000E0549"/>
    <w:rsid w:val="000E0A58"/>
    <w:rsid w:val="000F4CF7"/>
    <w:rsid w:val="00115F50"/>
    <w:rsid w:val="001173F3"/>
    <w:rsid w:val="00122601"/>
    <w:rsid w:val="0012633E"/>
    <w:rsid w:val="00126EAE"/>
    <w:rsid w:val="001469DB"/>
    <w:rsid w:val="0014738A"/>
    <w:rsid w:val="0015747B"/>
    <w:rsid w:val="00167B5F"/>
    <w:rsid w:val="001744D0"/>
    <w:rsid w:val="00175EB1"/>
    <w:rsid w:val="00176039"/>
    <w:rsid w:val="00176C20"/>
    <w:rsid w:val="0018022C"/>
    <w:rsid w:val="001815B7"/>
    <w:rsid w:val="001849B7"/>
    <w:rsid w:val="00197F4C"/>
    <w:rsid w:val="001B147E"/>
    <w:rsid w:val="001B20EF"/>
    <w:rsid w:val="001B5625"/>
    <w:rsid w:val="001D4BFD"/>
    <w:rsid w:val="001E08E8"/>
    <w:rsid w:val="001E48C0"/>
    <w:rsid w:val="001F1D26"/>
    <w:rsid w:val="001F1F6A"/>
    <w:rsid w:val="0020179C"/>
    <w:rsid w:val="00202E11"/>
    <w:rsid w:val="0020498D"/>
    <w:rsid w:val="00207AAB"/>
    <w:rsid w:val="0021316A"/>
    <w:rsid w:val="00215542"/>
    <w:rsid w:val="00220622"/>
    <w:rsid w:val="00257217"/>
    <w:rsid w:val="0027323F"/>
    <w:rsid w:val="002743F7"/>
    <w:rsid w:val="00275E69"/>
    <w:rsid w:val="002809E8"/>
    <w:rsid w:val="00281461"/>
    <w:rsid w:val="00284361"/>
    <w:rsid w:val="002919D0"/>
    <w:rsid w:val="002A152A"/>
    <w:rsid w:val="002A781A"/>
    <w:rsid w:val="002B1832"/>
    <w:rsid w:val="002B36FE"/>
    <w:rsid w:val="002B6325"/>
    <w:rsid w:val="002B6CD9"/>
    <w:rsid w:val="002C0EBE"/>
    <w:rsid w:val="002C7C74"/>
    <w:rsid w:val="00302907"/>
    <w:rsid w:val="00317085"/>
    <w:rsid w:val="0031733F"/>
    <w:rsid w:val="00324BB7"/>
    <w:rsid w:val="003467BF"/>
    <w:rsid w:val="00356BC7"/>
    <w:rsid w:val="00360490"/>
    <w:rsid w:val="003617D8"/>
    <w:rsid w:val="00377185"/>
    <w:rsid w:val="003837D5"/>
    <w:rsid w:val="00390ECF"/>
    <w:rsid w:val="00391A6F"/>
    <w:rsid w:val="003A334F"/>
    <w:rsid w:val="003A4FC0"/>
    <w:rsid w:val="003B0C54"/>
    <w:rsid w:val="003C1063"/>
    <w:rsid w:val="003C1492"/>
    <w:rsid w:val="003E42BE"/>
    <w:rsid w:val="003E500D"/>
    <w:rsid w:val="003F0396"/>
    <w:rsid w:val="003F67BE"/>
    <w:rsid w:val="003F73D7"/>
    <w:rsid w:val="00400109"/>
    <w:rsid w:val="00414D75"/>
    <w:rsid w:val="00415166"/>
    <w:rsid w:val="004158C8"/>
    <w:rsid w:val="00421463"/>
    <w:rsid w:val="004227C8"/>
    <w:rsid w:val="004239DF"/>
    <w:rsid w:val="004262BA"/>
    <w:rsid w:val="0043534A"/>
    <w:rsid w:val="004424CB"/>
    <w:rsid w:val="0044430C"/>
    <w:rsid w:val="00446DCF"/>
    <w:rsid w:val="00460970"/>
    <w:rsid w:val="00461637"/>
    <w:rsid w:val="00462711"/>
    <w:rsid w:val="00470E54"/>
    <w:rsid w:val="00473BC6"/>
    <w:rsid w:val="00475692"/>
    <w:rsid w:val="00476328"/>
    <w:rsid w:val="004774CD"/>
    <w:rsid w:val="00484500"/>
    <w:rsid w:val="004868C1"/>
    <w:rsid w:val="004911B9"/>
    <w:rsid w:val="00496C50"/>
    <w:rsid w:val="00497608"/>
    <w:rsid w:val="004D2A72"/>
    <w:rsid w:val="004D3E6C"/>
    <w:rsid w:val="004D6351"/>
    <w:rsid w:val="004E1B3F"/>
    <w:rsid w:val="004E4598"/>
    <w:rsid w:val="004F24DC"/>
    <w:rsid w:val="004F4559"/>
    <w:rsid w:val="00510EC0"/>
    <w:rsid w:val="0051242A"/>
    <w:rsid w:val="00514398"/>
    <w:rsid w:val="0051610A"/>
    <w:rsid w:val="0052262E"/>
    <w:rsid w:val="00570A22"/>
    <w:rsid w:val="0057189C"/>
    <w:rsid w:val="00571BBF"/>
    <w:rsid w:val="005766A0"/>
    <w:rsid w:val="00594BA5"/>
    <w:rsid w:val="005A17B0"/>
    <w:rsid w:val="005A7DF2"/>
    <w:rsid w:val="005B152D"/>
    <w:rsid w:val="005B1EAA"/>
    <w:rsid w:val="005F2BB6"/>
    <w:rsid w:val="005F7B1F"/>
    <w:rsid w:val="006034C7"/>
    <w:rsid w:val="0060684E"/>
    <w:rsid w:val="006238F3"/>
    <w:rsid w:val="00627036"/>
    <w:rsid w:val="0062771F"/>
    <w:rsid w:val="00642BC1"/>
    <w:rsid w:val="00642C6C"/>
    <w:rsid w:val="00646695"/>
    <w:rsid w:val="006546C0"/>
    <w:rsid w:val="006678E3"/>
    <w:rsid w:val="00673E1B"/>
    <w:rsid w:val="00674955"/>
    <w:rsid w:val="00685C02"/>
    <w:rsid w:val="00686651"/>
    <w:rsid w:val="00693584"/>
    <w:rsid w:val="00697DA2"/>
    <w:rsid w:val="006A7DA4"/>
    <w:rsid w:val="006B1C4E"/>
    <w:rsid w:val="006B6994"/>
    <w:rsid w:val="006C18A5"/>
    <w:rsid w:val="006C3137"/>
    <w:rsid w:val="006C690A"/>
    <w:rsid w:val="006E1C7E"/>
    <w:rsid w:val="006E1FBF"/>
    <w:rsid w:val="006F1E34"/>
    <w:rsid w:val="006F5332"/>
    <w:rsid w:val="00714043"/>
    <w:rsid w:val="00723213"/>
    <w:rsid w:val="00723656"/>
    <w:rsid w:val="00725D6C"/>
    <w:rsid w:val="0073033B"/>
    <w:rsid w:val="00731E68"/>
    <w:rsid w:val="00735393"/>
    <w:rsid w:val="00736F0D"/>
    <w:rsid w:val="00741794"/>
    <w:rsid w:val="00742947"/>
    <w:rsid w:val="0074405C"/>
    <w:rsid w:val="00746B3A"/>
    <w:rsid w:val="00746FF8"/>
    <w:rsid w:val="00747029"/>
    <w:rsid w:val="0075001B"/>
    <w:rsid w:val="007517E8"/>
    <w:rsid w:val="00751FDD"/>
    <w:rsid w:val="00756408"/>
    <w:rsid w:val="00760E1A"/>
    <w:rsid w:val="00760EF7"/>
    <w:rsid w:val="00781081"/>
    <w:rsid w:val="00781E98"/>
    <w:rsid w:val="00784498"/>
    <w:rsid w:val="0079344E"/>
    <w:rsid w:val="00796437"/>
    <w:rsid w:val="007B405E"/>
    <w:rsid w:val="007B7305"/>
    <w:rsid w:val="007C7E07"/>
    <w:rsid w:val="007D40C3"/>
    <w:rsid w:val="007F0E91"/>
    <w:rsid w:val="007F48DD"/>
    <w:rsid w:val="00816A05"/>
    <w:rsid w:val="00824058"/>
    <w:rsid w:val="0082643B"/>
    <w:rsid w:val="00827601"/>
    <w:rsid w:val="00846CEB"/>
    <w:rsid w:val="0086025D"/>
    <w:rsid w:val="00861BDE"/>
    <w:rsid w:val="0086423C"/>
    <w:rsid w:val="008915BE"/>
    <w:rsid w:val="00897094"/>
    <w:rsid w:val="008B07D6"/>
    <w:rsid w:val="008B130D"/>
    <w:rsid w:val="008B2082"/>
    <w:rsid w:val="008B2183"/>
    <w:rsid w:val="008B6343"/>
    <w:rsid w:val="008C018E"/>
    <w:rsid w:val="008C07E4"/>
    <w:rsid w:val="008C4699"/>
    <w:rsid w:val="008C7714"/>
    <w:rsid w:val="008F7F2A"/>
    <w:rsid w:val="009139C1"/>
    <w:rsid w:val="00920D24"/>
    <w:rsid w:val="00922075"/>
    <w:rsid w:val="00926A57"/>
    <w:rsid w:val="0092726B"/>
    <w:rsid w:val="00930FEC"/>
    <w:rsid w:val="00932C9C"/>
    <w:rsid w:val="00943E8B"/>
    <w:rsid w:val="00945164"/>
    <w:rsid w:val="00953E81"/>
    <w:rsid w:val="00954A44"/>
    <w:rsid w:val="00956CDE"/>
    <w:rsid w:val="00960E31"/>
    <w:rsid w:val="00963C3C"/>
    <w:rsid w:val="009778F2"/>
    <w:rsid w:val="00977E80"/>
    <w:rsid w:val="00992B6C"/>
    <w:rsid w:val="009938D0"/>
    <w:rsid w:val="009944DD"/>
    <w:rsid w:val="00995B22"/>
    <w:rsid w:val="0099721E"/>
    <w:rsid w:val="009A349A"/>
    <w:rsid w:val="009A563A"/>
    <w:rsid w:val="009B0D72"/>
    <w:rsid w:val="009B4DEE"/>
    <w:rsid w:val="009C006F"/>
    <w:rsid w:val="009C19EE"/>
    <w:rsid w:val="009D06A6"/>
    <w:rsid w:val="009D5864"/>
    <w:rsid w:val="009E005E"/>
    <w:rsid w:val="009E7694"/>
    <w:rsid w:val="009F1E09"/>
    <w:rsid w:val="009F35C9"/>
    <w:rsid w:val="00A051BC"/>
    <w:rsid w:val="00A10FC7"/>
    <w:rsid w:val="00A11087"/>
    <w:rsid w:val="00A15227"/>
    <w:rsid w:val="00A15338"/>
    <w:rsid w:val="00A17916"/>
    <w:rsid w:val="00A334B8"/>
    <w:rsid w:val="00A34908"/>
    <w:rsid w:val="00A352A7"/>
    <w:rsid w:val="00A40EDF"/>
    <w:rsid w:val="00A504AA"/>
    <w:rsid w:val="00A52E5B"/>
    <w:rsid w:val="00A53254"/>
    <w:rsid w:val="00A63A2B"/>
    <w:rsid w:val="00A811FD"/>
    <w:rsid w:val="00A826FF"/>
    <w:rsid w:val="00A8527E"/>
    <w:rsid w:val="00AA66D0"/>
    <w:rsid w:val="00AB0A5D"/>
    <w:rsid w:val="00AC1686"/>
    <w:rsid w:val="00AC5762"/>
    <w:rsid w:val="00AD0A94"/>
    <w:rsid w:val="00AD4022"/>
    <w:rsid w:val="00AD7FFD"/>
    <w:rsid w:val="00AE3F8B"/>
    <w:rsid w:val="00AE43B2"/>
    <w:rsid w:val="00B01671"/>
    <w:rsid w:val="00B032C9"/>
    <w:rsid w:val="00B1576D"/>
    <w:rsid w:val="00B1637B"/>
    <w:rsid w:val="00B17F44"/>
    <w:rsid w:val="00B22E72"/>
    <w:rsid w:val="00B2731D"/>
    <w:rsid w:val="00B40726"/>
    <w:rsid w:val="00B413B1"/>
    <w:rsid w:val="00B43CF7"/>
    <w:rsid w:val="00B556AF"/>
    <w:rsid w:val="00B57A73"/>
    <w:rsid w:val="00B677B9"/>
    <w:rsid w:val="00B752F3"/>
    <w:rsid w:val="00B81D6B"/>
    <w:rsid w:val="00B82EDC"/>
    <w:rsid w:val="00BA08F0"/>
    <w:rsid w:val="00BA4767"/>
    <w:rsid w:val="00BB66B2"/>
    <w:rsid w:val="00BD7937"/>
    <w:rsid w:val="00BF32EB"/>
    <w:rsid w:val="00BF4686"/>
    <w:rsid w:val="00C02664"/>
    <w:rsid w:val="00C06C17"/>
    <w:rsid w:val="00C10AAF"/>
    <w:rsid w:val="00C15EDC"/>
    <w:rsid w:val="00C30543"/>
    <w:rsid w:val="00C3371C"/>
    <w:rsid w:val="00C3432E"/>
    <w:rsid w:val="00C352AB"/>
    <w:rsid w:val="00C43D80"/>
    <w:rsid w:val="00C51C08"/>
    <w:rsid w:val="00C5746B"/>
    <w:rsid w:val="00C633E8"/>
    <w:rsid w:val="00C6388C"/>
    <w:rsid w:val="00C67B83"/>
    <w:rsid w:val="00C7779A"/>
    <w:rsid w:val="00C802D1"/>
    <w:rsid w:val="00C8277F"/>
    <w:rsid w:val="00C83973"/>
    <w:rsid w:val="00C97571"/>
    <w:rsid w:val="00C977C5"/>
    <w:rsid w:val="00CA61B8"/>
    <w:rsid w:val="00CC00F3"/>
    <w:rsid w:val="00CC1C71"/>
    <w:rsid w:val="00CC2594"/>
    <w:rsid w:val="00CD2D77"/>
    <w:rsid w:val="00CD3821"/>
    <w:rsid w:val="00CE047D"/>
    <w:rsid w:val="00CE0787"/>
    <w:rsid w:val="00CF2AE2"/>
    <w:rsid w:val="00D00235"/>
    <w:rsid w:val="00D00945"/>
    <w:rsid w:val="00D07A02"/>
    <w:rsid w:val="00D07E10"/>
    <w:rsid w:val="00D218CD"/>
    <w:rsid w:val="00D23A88"/>
    <w:rsid w:val="00D26A3A"/>
    <w:rsid w:val="00D304FA"/>
    <w:rsid w:val="00D527A7"/>
    <w:rsid w:val="00D67B60"/>
    <w:rsid w:val="00D70304"/>
    <w:rsid w:val="00D85435"/>
    <w:rsid w:val="00D86E83"/>
    <w:rsid w:val="00D90E59"/>
    <w:rsid w:val="00DA4E90"/>
    <w:rsid w:val="00DA5325"/>
    <w:rsid w:val="00DA53DD"/>
    <w:rsid w:val="00DA590A"/>
    <w:rsid w:val="00DB088B"/>
    <w:rsid w:val="00DB720E"/>
    <w:rsid w:val="00DB770D"/>
    <w:rsid w:val="00DC200F"/>
    <w:rsid w:val="00DC4514"/>
    <w:rsid w:val="00DC6A1F"/>
    <w:rsid w:val="00DD100E"/>
    <w:rsid w:val="00DD285A"/>
    <w:rsid w:val="00DD5D88"/>
    <w:rsid w:val="00DD6C22"/>
    <w:rsid w:val="00DF25AC"/>
    <w:rsid w:val="00E01F2B"/>
    <w:rsid w:val="00E12BB4"/>
    <w:rsid w:val="00E14B25"/>
    <w:rsid w:val="00E21E11"/>
    <w:rsid w:val="00E22346"/>
    <w:rsid w:val="00E314AF"/>
    <w:rsid w:val="00E36340"/>
    <w:rsid w:val="00E37524"/>
    <w:rsid w:val="00E421C3"/>
    <w:rsid w:val="00E43AA4"/>
    <w:rsid w:val="00E77EF3"/>
    <w:rsid w:val="00E80EC5"/>
    <w:rsid w:val="00E86004"/>
    <w:rsid w:val="00E86807"/>
    <w:rsid w:val="00E9138A"/>
    <w:rsid w:val="00E926A4"/>
    <w:rsid w:val="00E97C1F"/>
    <w:rsid w:val="00EA75DB"/>
    <w:rsid w:val="00EB3E11"/>
    <w:rsid w:val="00EB477F"/>
    <w:rsid w:val="00EC04EF"/>
    <w:rsid w:val="00EC30C7"/>
    <w:rsid w:val="00EC3C6F"/>
    <w:rsid w:val="00EC483C"/>
    <w:rsid w:val="00EC67CA"/>
    <w:rsid w:val="00EE0223"/>
    <w:rsid w:val="00EE19D2"/>
    <w:rsid w:val="00F0014C"/>
    <w:rsid w:val="00F14745"/>
    <w:rsid w:val="00F31EFB"/>
    <w:rsid w:val="00F373F3"/>
    <w:rsid w:val="00F40CAB"/>
    <w:rsid w:val="00F47D64"/>
    <w:rsid w:val="00F500C9"/>
    <w:rsid w:val="00F530B4"/>
    <w:rsid w:val="00F53719"/>
    <w:rsid w:val="00F5388E"/>
    <w:rsid w:val="00F601F4"/>
    <w:rsid w:val="00F64D7C"/>
    <w:rsid w:val="00F71BAD"/>
    <w:rsid w:val="00F82B1D"/>
    <w:rsid w:val="00F85075"/>
    <w:rsid w:val="00F8524C"/>
    <w:rsid w:val="00F877AC"/>
    <w:rsid w:val="00FA7A14"/>
    <w:rsid w:val="00FB50C0"/>
    <w:rsid w:val="00FB523A"/>
    <w:rsid w:val="00FB7598"/>
    <w:rsid w:val="00FC5570"/>
    <w:rsid w:val="00FC5966"/>
    <w:rsid w:val="00FC5C44"/>
    <w:rsid w:val="00FD04AA"/>
    <w:rsid w:val="00FE354B"/>
    <w:rsid w:val="00FE680C"/>
    <w:rsid w:val="00FF2500"/>
    <w:rsid w:val="021704D4"/>
    <w:rsid w:val="065344DE"/>
    <w:rsid w:val="0777739B"/>
    <w:rsid w:val="0A093E80"/>
    <w:rsid w:val="0A827AC1"/>
    <w:rsid w:val="0C83197D"/>
    <w:rsid w:val="12EC25BC"/>
    <w:rsid w:val="1B840123"/>
    <w:rsid w:val="1BC9751D"/>
    <w:rsid w:val="210307FB"/>
    <w:rsid w:val="211543B6"/>
    <w:rsid w:val="25D73183"/>
    <w:rsid w:val="2C2F6575"/>
    <w:rsid w:val="2D0318EC"/>
    <w:rsid w:val="312B2733"/>
    <w:rsid w:val="34B23E72"/>
    <w:rsid w:val="350601AF"/>
    <w:rsid w:val="353564E5"/>
    <w:rsid w:val="37B647D6"/>
    <w:rsid w:val="397C0E00"/>
    <w:rsid w:val="3E402784"/>
    <w:rsid w:val="426F6F83"/>
    <w:rsid w:val="44195F02"/>
    <w:rsid w:val="44786B1E"/>
    <w:rsid w:val="48DC7D87"/>
    <w:rsid w:val="4B253333"/>
    <w:rsid w:val="50D879D0"/>
    <w:rsid w:val="565151E5"/>
    <w:rsid w:val="5947725E"/>
    <w:rsid w:val="5B8A73FF"/>
    <w:rsid w:val="5C056325"/>
    <w:rsid w:val="5C966404"/>
    <w:rsid w:val="5CC63609"/>
    <w:rsid w:val="5EC510A5"/>
    <w:rsid w:val="6183303E"/>
    <w:rsid w:val="62626DF9"/>
    <w:rsid w:val="642A77A1"/>
    <w:rsid w:val="672D6F5E"/>
    <w:rsid w:val="69224EEB"/>
    <w:rsid w:val="6B32456C"/>
    <w:rsid w:val="6BDE55BC"/>
    <w:rsid w:val="7010286D"/>
    <w:rsid w:val="7127375B"/>
    <w:rsid w:val="720B1386"/>
    <w:rsid w:val="728B1D53"/>
    <w:rsid w:val="7350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5"/>
    <w:autoRedefine/>
    <w:semiHidden/>
    <w:unhideWhenUsed/>
    <w:qFormat/>
    <w:uiPriority w:val="99"/>
    <w:pPr>
      <w:spacing w:after="120"/>
      <w:ind w:left="420" w:leftChars="200"/>
    </w:pPr>
  </w:style>
  <w:style w:type="paragraph" w:styleId="3">
    <w:name w:val="Plain Text"/>
    <w:basedOn w:val="1"/>
    <w:link w:val="18"/>
    <w:autoRedefine/>
    <w:qFormat/>
    <w:uiPriority w:val="0"/>
    <w:rPr>
      <w:rFonts w:ascii="宋体" w:hAnsi="Courier New" w:eastAsia="宋体" w:cs="宋体"/>
      <w:sz w:val="32"/>
      <w:szCs w:val="32"/>
    </w:rPr>
  </w:style>
  <w:style w:type="paragraph" w:styleId="4">
    <w:name w:val="Body Text Indent 2"/>
    <w:basedOn w:val="1"/>
    <w:link w:val="13"/>
    <w:autoRedefine/>
    <w:unhideWhenUsed/>
    <w:qFormat/>
    <w:uiPriority w:val="99"/>
    <w:pPr>
      <w:spacing w:line="580" w:lineRule="exact"/>
      <w:ind w:firstLine="640" w:firstLineChars="200"/>
    </w:pPr>
    <w:rPr>
      <w:rFonts w:ascii="仿宋_GB2312" w:eastAsia="仿宋_GB2312"/>
      <w:sz w:val="32"/>
    </w:rPr>
  </w:style>
  <w:style w:type="paragraph" w:styleId="5">
    <w:name w:val="footer"/>
    <w:basedOn w:val="1"/>
    <w:link w:val="14"/>
    <w:autoRedefine/>
    <w:unhideWhenUsed/>
    <w:qFormat/>
    <w:uiPriority w:val="0"/>
    <w:pPr>
      <w:tabs>
        <w:tab w:val="center" w:pos="4153"/>
        <w:tab w:val="right" w:pos="8306"/>
      </w:tabs>
      <w:snapToGrid w:val="0"/>
      <w:jc w:val="left"/>
    </w:pPr>
    <w:rPr>
      <w:sz w:val="18"/>
    </w:rPr>
  </w:style>
  <w:style w:type="paragraph" w:styleId="6">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jc w:val="left"/>
    </w:pPr>
    <w:rPr>
      <w:rFonts w:cs="Times New Roman"/>
      <w:kern w:val="0"/>
      <w:sz w:val="24"/>
    </w:rPr>
  </w:style>
  <w:style w:type="character" w:styleId="10">
    <w:name w:val="Strong"/>
    <w:basedOn w:val="9"/>
    <w:autoRedefine/>
    <w:qFormat/>
    <w:uiPriority w:val="22"/>
    <w:rPr>
      <w:b/>
      <w:bCs/>
    </w:rPr>
  </w:style>
  <w:style w:type="character" w:styleId="11">
    <w:name w:val="HTML Typewriter"/>
    <w:basedOn w:val="9"/>
    <w:autoRedefine/>
    <w:qFormat/>
    <w:uiPriority w:val="0"/>
    <w:rPr>
      <w:rFonts w:hint="default" w:ascii="monospace" w:hAnsi="monospace" w:eastAsia="monospace" w:cs="monospace"/>
      <w:sz w:val="20"/>
    </w:rPr>
  </w:style>
  <w:style w:type="character" w:styleId="12">
    <w:name w:val="HTML Cite"/>
    <w:basedOn w:val="9"/>
    <w:autoRedefine/>
    <w:qFormat/>
    <w:uiPriority w:val="0"/>
  </w:style>
  <w:style w:type="character" w:customStyle="1" w:styleId="13">
    <w:name w:val="正文文本缩进 2 Char"/>
    <w:basedOn w:val="9"/>
    <w:link w:val="4"/>
    <w:autoRedefine/>
    <w:qFormat/>
    <w:uiPriority w:val="99"/>
    <w:rPr>
      <w:rFonts w:ascii="仿宋_GB2312" w:eastAsia="仿宋_GB2312"/>
      <w:sz w:val="32"/>
    </w:rPr>
  </w:style>
  <w:style w:type="character" w:customStyle="1" w:styleId="14">
    <w:name w:val="页脚 Char"/>
    <w:basedOn w:val="9"/>
    <w:link w:val="5"/>
    <w:autoRedefine/>
    <w:semiHidden/>
    <w:qFormat/>
    <w:uiPriority w:val="99"/>
    <w:rPr>
      <w:sz w:val="18"/>
    </w:rPr>
  </w:style>
  <w:style w:type="character" w:customStyle="1" w:styleId="15">
    <w:name w:val="正文文本缩进 Char"/>
    <w:basedOn w:val="9"/>
    <w:link w:val="2"/>
    <w:autoRedefine/>
    <w:semiHidden/>
    <w:qFormat/>
    <w:uiPriority w:val="99"/>
  </w:style>
  <w:style w:type="paragraph" w:customStyle="1" w:styleId="16">
    <w:name w:val="样式1"/>
    <w:basedOn w:val="1"/>
    <w:autoRedefine/>
    <w:qFormat/>
    <w:uiPriority w:val="0"/>
    <w:rPr>
      <w:rFonts w:ascii="Times New Roman" w:hAnsi="Times New Roman" w:eastAsia="仿宋_GB2312" w:cs="Times New Roman"/>
      <w:sz w:val="32"/>
      <w:szCs w:val="24"/>
    </w:rPr>
  </w:style>
  <w:style w:type="character" w:customStyle="1" w:styleId="17">
    <w:name w:val="页眉 Char"/>
    <w:basedOn w:val="9"/>
    <w:link w:val="6"/>
    <w:autoRedefine/>
    <w:semiHidden/>
    <w:qFormat/>
    <w:uiPriority w:val="99"/>
    <w:rPr>
      <w:sz w:val="18"/>
      <w:szCs w:val="18"/>
    </w:rPr>
  </w:style>
  <w:style w:type="character" w:customStyle="1" w:styleId="18">
    <w:name w:val="纯文本 Char"/>
    <w:basedOn w:val="9"/>
    <w:link w:val="3"/>
    <w:autoRedefine/>
    <w:qFormat/>
    <w:uiPriority w:val="0"/>
    <w:rPr>
      <w:rFonts w:ascii="宋体" w:hAnsi="Courier New" w:eastAsia="宋体"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5528</Words>
  <Characters>5874</Characters>
  <Lines>39</Lines>
  <Paragraphs>11</Paragraphs>
  <TotalTime>4</TotalTime>
  <ScaleCrop>false</ScaleCrop>
  <LinksUpToDate>false</LinksUpToDate>
  <CharactersWithSpaces>5878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2020-03-24T03:18:00Z</dcterms:created>
  <dc:creator>Lenovo</dc:creator>
  <cp:lastModifiedBy>温哲鹏</cp:lastModifiedBy>
  <cp:lastPrinted>2024-04-18T03:02:00Z</cp:lastPrinted>
  <dcterms:modified xsi:type="dcterms:W3CDTF">2024-06-27T01:30:04Z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ED1F25BF0FB6494FA20778480B0B06E9</vt:lpwstr>
  </property>
</Properties>
</file>