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7" w:hRule="atLeast"/>
        </w:trPr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  <w:r>
              <w:drawing>
                <wp:inline distT="0" distB="0" distL="114300" distR="114300">
                  <wp:extent cx="902970" cy="674370"/>
                  <wp:effectExtent l="0" t="0" r="11430" b="1143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eastAsia="zh-CN"/>
              </w:rPr>
              <w:t>中央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项目支出绩效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eastAsia="zh-CN"/>
              </w:rPr>
              <w:t>自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评报告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（20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val="en-US" w:eastAsia="zh-CN"/>
              </w:rPr>
              <w:t>24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年度）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</w:p>
          <w:p>
            <w:pPr>
              <w:ind w:firstLine="1264" w:firstLineChars="400"/>
              <w:rPr>
                <w:rFonts w:hint="default" w:ascii="仿宋_GB2312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项目名称：</w:t>
            </w:r>
            <w:r>
              <w:rPr>
                <w:rFonts w:hint="eastAsia" w:ascii="仿宋_GB2312" w:hAnsi="宋体"/>
                <w:kern w:val="0"/>
                <w:lang w:eastAsia="zh-CN"/>
              </w:rPr>
              <w:t>特困供养机构改造</w:t>
            </w:r>
          </w:p>
          <w:p>
            <w:pPr>
              <w:ind w:firstLine="1264" w:firstLineChars="400"/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项目单位：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黄石经济技术开发区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·铁山区民政局</w:t>
            </w:r>
          </w:p>
          <w:p>
            <w:pPr>
              <w:ind w:firstLine="1264" w:firstLineChars="400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主管部门：黄石市民政局</w:t>
            </w:r>
          </w:p>
          <w:p>
            <w:pPr>
              <w:ind w:firstLine="1264" w:firstLineChars="400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评价机构：自评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月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 w:eastAsia="仿宋_GB2312"/>
          <w:lang w:eastAsia="zh-CN"/>
        </w:rPr>
      </w:pPr>
    </w:p>
    <w:p>
      <w:pPr>
        <w:pStyle w:val="2"/>
        <w:ind w:left="0" w:leftChars="0" w:firstLine="0" w:firstLineChars="0"/>
        <w:rPr>
          <w:rFonts w:hint="eastAsia" w:eastAsia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一、项目概况和资金使用管理情况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（一）项目立项背景和依据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当前，我国特困人员供养服务正从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分散供养为主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集中供养提质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型。黄石市铁山区、开发区农村地区原有大王福利院、太子福利院设施陈旧，单体规模小（单院床位均不足50张），存在功能分区不合理、适老化设备缺失、专业照护能力薄弱等问题，难以满足特困老人（尤其是失能、半失能老人）的集中供养需求。为贯彻落实《国务院办公厅关于进一步健全特困人员救助供养制度的意见》（国办发〔2016〕47号）及《湖北省特困人员供养服务设施（敬老院）改造提升三年行动计划（2023-2025年）》要求，黄石经济技术开发区・铁山区政府通过【2024】9号会议纪要决策，将两所基层福利院整合至黄金山中心福利院，通过集中改建打造区域性特困人员供养服务枢纽，旨在优化养老资源配置，提升兜底保障能力，实现"设施标准化、服务专业化、管理规范化"的特困供养服务目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项目资金来源和使用情况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20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根据黄石经济技术开发区管理委员会·黄石市铁山区人民政府《会议纪要》（【2024】9号），“同意将大王福利院和太子福利院整合至黄金山中心福利院；将原大王镇特困供养机构改建项目实施地点变更为搬迁后的地址，业主改为黄金山中心福利院”。会议同意原大王镇特困供养机构改建项目预算113万元，</w:t>
      </w:r>
      <w:r>
        <w:rPr>
          <w:rFonts w:hint="eastAsia" w:ascii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计划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实施家具类采购35万元、电器类采购30.6万元、日常用品类采购25万元、房间改造和安全防护设施安装22.4万</w:t>
      </w:r>
      <w:bookmarkStart w:id="0" w:name="_GoBack"/>
      <w:bookmarkEnd w:id="0"/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元。前期已拨付50万元，现根据</w:t>
      </w:r>
      <w:r>
        <w:rPr>
          <w:rFonts w:hint="eastAsia" w:ascii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《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中央集中彩票公益金支持社会福利事业资金</w:t>
      </w:r>
      <w:r>
        <w:rPr>
          <w:rFonts w:hint="eastAsia" w:ascii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（老年人福利类）》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鄂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财社发[2024]</w:t>
      </w:r>
      <w:r>
        <w:rPr>
          <w:rFonts w:hint="eastAsia" w:ascii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号），申请拨付第二批50万元。</w:t>
      </w:r>
      <w:r>
        <w:rPr>
          <w:rFonts w:hint="eastAsia" w:ascii="仿宋_GB2312" w:hAnsi="Calibri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"/>
        </w:rPr>
        <w:t>会议要求，黄金山中心福利院在采购过程中要思想重视，秉持程序合规、量力节约、注重监管、质量第一的原则进行，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项目决算不超过100万元</w:t>
      </w:r>
      <w:r>
        <w:rPr>
          <w:rFonts w:hint="eastAsia" w:ascii="仿宋_GB2312" w:hAnsi="Calibri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二、项目绩效评价结论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项目全年预算数为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100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万元，执行数为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100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万元，完成预算的100%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，无资金截留、挪用情况或超范围支出，采购程序合规，资产台账完整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主要产出和效果：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（1）产出指标完成情况分析。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数量指标完成情况：采购家具类8项（衣柜、鞋柜、床头柜、写字桌、写字椅、小靠椅、实木床、单摇护理床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）31.4396万元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，执行率100%；采购电器类14项（电视、净水机、烘干机、洗衣机、打孔机、过塑机、多用功能插座转换器、空气消毒机、电扇、空调、台式电脑、笔记本电脑、投影仪、打印机等）；采购日常用品类21项（床上3件套、子母被芯、枕芯、枕巾、毛毯、凉席、凉枕、床垫、毛巾、大桶、大洗澡盆、小洗澡盆、毛巾架、洗澡椅、花洒、窗帘、推车、纱窗、助澡椅、晾衣架、垃圾桶等）；采购房间改造和安全防护设施安装类4项（安全扶手、临终关怀房、廊架、车棚等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质量指标完成情况：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质量合格率100%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时效指标完成情况：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计划及时完成率100%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（2）效益指标完成情况分析。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社会效益指标完成情况：黄金山中心福利院服务质量提升。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（3）满意度指标完成情况分析。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群众满意度达到98%以上。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、主要存在的问题和建议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整合后管理效能待提升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原大王、太子福利院工作人员并入黄金山中心福利院，存在岗位职责重叠、专业技能不匹配问题（如原乡镇福利院管理人员缺乏大型机构运营经验），设备使用培训、安全管理制度尚未完全落地。​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后续运营资金保障不足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项目资金仅覆盖改建和设备采购，未包含后续水电费、人员工资、设施维护等运营成本（预计年新增开支40万元），而现有财政拨款标准仍按整合前单体机构核定，存在运营资金缺口。​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区域服务辐射能力有限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黄金山中心福利院主要服务户籍在开发区・铁山区的特困老人，周边街道（如铁山街道）的非特困老年群体对优质养老资源需求强烈，但受限于机构性质，暂无法向社会开放，资源利用率未达最大化。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）改进建议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加强专业化管理团队建设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委托第三方养老服务机构开展为期6个月的托管运营，引入标准化管理体系（如ISO9001养老服务质量认证），同步开展员工能力测评与定向培训，重点培养3-5名具备机构管理、应急处置能力的骨干人员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建立设备使用责任制度，将智能监测系统、护理设备维护纳入岗位考核，确保设施完好率保持在95%以上。​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拓宽多元资金筹措渠道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争取纳入省级特困人员供养服务设施建设重点项目，申请专项运营补贴；探索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公益+市场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模式，在保障特困老人需求的前提下，向社会老人开放20%床位，通过市场化收费反哺运营成本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发起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关爱特困老人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慈善募捐活动，引导企业、社会组织捐赠康复辅具、生活物资，建立长期合作机制。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拓展区域性养老服务功能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与周边社区签订合作协议，开放康复室、食堂等公共设施，为社区老人提供低价助餐、健康理疗等服务，打造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特困供养+社区服务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双功能枢纽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联合区卫健局建立医养结合绿色通道，将福利院医务室纳入基层医疗机构医保定点，提升医疗资源利用效率，形成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机构+社区+医疗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的立体化养老服务网络。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</w:rPr>
      </w:pPr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t>2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67A29"/>
    <w:multiLevelType w:val="singleLevel"/>
    <w:tmpl w:val="BBE67A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GVmNDdhNjc4MTA3NGZjNzRmYmViYWExYzE5Y2UifQ=="/>
  </w:docVars>
  <w:rsids>
    <w:rsidRoot w:val="1C65649B"/>
    <w:rsid w:val="1B83540D"/>
    <w:rsid w:val="1C65649B"/>
    <w:rsid w:val="47BE91F4"/>
    <w:rsid w:val="48A37CB9"/>
    <w:rsid w:val="67EF5674"/>
    <w:rsid w:val="7FCF5728"/>
    <w:rsid w:val="9FBF7F54"/>
    <w:rsid w:val="BFF5341C"/>
    <w:rsid w:val="C877CE4C"/>
    <w:rsid w:val="D77D6CEF"/>
    <w:rsid w:val="DE8C3B50"/>
    <w:rsid w:val="EFDF8F5A"/>
    <w:rsid w:val="FBFE2511"/>
    <w:rsid w:val="FDFFF1C6"/>
    <w:rsid w:val="FE8DB051"/>
    <w:rsid w:val="FEAA7F21"/>
    <w:rsid w:val="FFA79D7C"/>
    <w:rsid w:val="FFCE9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Lines="0" w:afterAutospacing="0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  <w:lang w:eastAsia="en-US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2025-05-25T09:36:00Z</dcterms:created>
  <dc:creator>杨羊羊</dc:creator>
  <cp:lastModifiedBy>Living Spring</cp:lastModifiedBy>
  <dcterms:modified xsi:type="dcterms:W3CDTF">2025-06-17T09:32:10Z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6CCA634FA6C44C4DD6EC4768DF9033DA</vt:lpwstr>
  </property>
</Properties>
</file>