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7" w:hRule="atLeast"/>
        </w:trPr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  <w:r>
              <w:drawing>
                <wp:inline distT="0" distB="0" distL="114300" distR="114300">
                  <wp:extent cx="902970" cy="674370"/>
                  <wp:effectExtent l="0" t="0" r="1143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省级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项目支出绩效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自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年度）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ind w:firstLine="1264" w:firstLineChars="400"/>
              <w:rPr>
                <w:rFonts w:hint="default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_GB2312" w:hAnsi="Times New Roman" w:cs="Times New Roman"/>
                <w:bCs/>
                <w:color w:val="000000"/>
                <w:sz w:val="32"/>
                <w:szCs w:val="32"/>
                <w:lang w:val="en-US" w:eastAsia="zh-CN"/>
              </w:rPr>
              <w:t>经济困难高龄失能老人补助</w:t>
            </w:r>
          </w:p>
          <w:p>
            <w:pPr>
              <w:ind w:firstLine="1264" w:firstLineChars="400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项目单位：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黄石经济技术开发区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·铁山区民政局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主管部门：黄石市民政局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评价机构：自评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月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一、项目概况和资金使用管理情况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（一）项目立项背景和依据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，我国人口老龄化呈现"高龄化、失能化、空巢化"叠加的严峻趋势。第七次全国人口普查数据显示，湖北省60岁以上老年人口已达1179.36万，占比19.85%，其中80岁以上高龄老人189万，失能半失能老人超过120万。经济困难的高龄、失能老人作为最需要兜底保障的群体，面临生活照料、医疗护理等多重困难，亟需通过制度化补贴缓解家庭照护压力，提升基本生活质量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党中央、国务院高度重视特殊困难老年人关爱服务，《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国家老龄事业发展和养老服务体系规划》明确要求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建立经济困难的高龄、失能老年人补贴制度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。湖北省积极落实国家战略，结合《湖北省养老服务体系建设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规划》提出的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健全特殊困难老年人兜底保障机制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目标，针对本省高龄失能老人经济负担重、照护资源短缺等问题，设立专项补贴资金，旨在通过精准化政策供给，构建覆盖城乡的老年兜底保障网络，切实保障困难群体基本生活权益，促进社会公平正义。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项目资金来源和使用情况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根据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《省级经济困难高龄失能老人补助资金》鄂财社发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〔2024〕43号，支持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经济困难高龄失能老人补贴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15.4万元，对辖区内的困难高龄老人每人每月发放100元补贴，困难失能老人每人每月发放200元补贴。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二、项目绩效评价结论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项目全年预算数为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15.4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万元，执行数为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15.4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万元，完成预算的100%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，无资金截留、挪用情况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主要产出和效果：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数量指标完成情况：对辖区内的困难高龄老人每人每月发放100元补贴，困难失能老人每人每月发放200元补贴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，共计发放15.4万元。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质量指标完成情况：质量合格率100%。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时效指标完成情况：计划及时完成率100%。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社会效益指标完成情况：保障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辖区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经济困难高龄失能老人生活。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群众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满意度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达到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98%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以上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、主要存在的问题和建议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动态认定机制有待完善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部分老人因疾病突发、身体机能变化等导致失能等级改变，现有认定流程依赖年度集中复核，存在补贴调整不及时问题；此外，农村地区存在个别老人因文化程度低、子女外出务工等原因未及时申请补贴，导致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应享未享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部门数据共享不充分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补贴发放依赖人工核对低保、医保、残联等多部门数据，尚未建立跨系统数据共享平台，存在重复认证、信息滞后等问题，增加基层工作负担的同时，可能影响政策精准性。​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社会力量参与不足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目前补贴资金完全依赖财政投入，缺乏企业捐赠、慈善基金等社会资源补充，多元化保障机制尚未形成；针对失能老人的上门护理、康复服务等配套措施缺失，补贴资金使用效益未能充分释放。​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优化精准认定流程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开发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智慧养老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信息平台，对接医保结算、残疾人数据、低保系统，实现补贴对象动态筛查和智能认定，将年度复核改为季度动态调整，确保补贴与老人实际需求实时匹配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组织社区工作者、志愿者开展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敲门行动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，针对农村留守老人、残障老人等重点群体进行政策宣讲和上门代办服务，消除申请盲区。​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推进部门数据共享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由</w:t>
      </w:r>
      <w:r>
        <w:rPr>
          <w:rFonts w:hint="eastAsia" w:ascii="仿宋_GB2312" w:hAnsi="仿宋_GB2312" w:cs="仿宋_GB2312"/>
          <w:lang w:eastAsia="zh-CN"/>
        </w:rPr>
        <w:t>区级</w:t>
      </w:r>
      <w:r>
        <w:rPr>
          <w:rFonts w:hint="eastAsia" w:ascii="仿宋_GB2312" w:hAnsi="仿宋_GB2312" w:eastAsia="仿宋_GB2312" w:cs="仿宋_GB2312"/>
        </w:rPr>
        <w:t>民政部门牵头，建立跨部门数据共享机制，打通医保、卫健、残联、人社等系统数据壁垒，通过大数据比对实现补贴对象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精准识别、精准退出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，减少人工审核误差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引入生物识别技术（如人脸认证），解决异地居住老人资格认证难题，防范冒领、重复领取等风险。​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构建多元保障体系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出台《社会力量参与养老服务激励办法》，鼓励企业、社会组织通过捐赠、设立专项基金等方式参与补贴资金筹措，对捐赠额超过50万元的企业给予税收减免和荣誉表彰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整合补贴资金与养老服务资源，探索</w:t>
      </w:r>
      <w:r>
        <w:rPr>
          <w:rFonts w:hint="eastAsia" w:ascii="仿宋_GB2312" w:hAnsi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补贴+服务</w:t>
      </w:r>
      <w:r>
        <w:rPr>
          <w:rFonts w:hint="eastAsia" w:ascii="仿宋_GB2312" w:hAnsi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模式，引导专业养老机构为失能老人提供低价优质的护理服务，允许补贴资金用于购买助浴、康复训练等服务项目，提升资金使用效能。​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67A29"/>
    <w:multiLevelType w:val="singleLevel"/>
    <w:tmpl w:val="BBE67A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GVmNDdhNjc4MTA3NGZjNzRmYmViYWExYzE5Y2UifQ=="/>
  </w:docVars>
  <w:rsids>
    <w:rsidRoot w:val="1C65649B"/>
    <w:rsid w:val="1B83540D"/>
    <w:rsid w:val="1C65649B"/>
    <w:rsid w:val="48A37CB9"/>
    <w:rsid w:val="5DF582CA"/>
    <w:rsid w:val="6F5EE8B8"/>
    <w:rsid w:val="7AF5A90B"/>
    <w:rsid w:val="7CF37F43"/>
    <w:rsid w:val="7CF6701A"/>
    <w:rsid w:val="9FBF7F54"/>
    <w:rsid w:val="9FD7F4DD"/>
    <w:rsid w:val="BFF5341C"/>
    <w:rsid w:val="DD7F4F68"/>
    <w:rsid w:val="E5BEC624"/>
    <w:rsid w:val="F57FD549"/>
    <w:rsid w:val="F7B79E23"/>
    <w:rsid w:val="FB5FACD6"/>
    <w:rsid w:val="FF4FFF5D"/>
    <w:rsid w:val="FFAD60CD"/>
    <w:rsid w:val="FFFF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15"/>
    <w:basedOn w:val="9"/>
    <w:qFormat/>
    <w:uiPriority w:val="0"/>
    <w:rPr>
      <w:rFonts w:hint="eastAsia" w:ascii="仿宋_GB2312" w:eastAsia="仿宋_GB2312" w:cs="仿宋_GB2312"/>
    </w:rPr>
  </w:style>
  <w:style w:type="character" w:customStyle="1" w:styleId="12">
    <w:name w:val="10"/>
    <w:basedOn w:val="9"/>
    <w:qFormat/>
    <w:uiPriority w:val="0"/>
    <w:rPr>
      <w:rFonts w:hint="eastAsia"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2025-05-25T09:36:00Z</dcterms:created>
  <dc:creator>杨羊羊</dc:creator>
  <cp:lastModifiedBy>Living Spring</cp:lastModifiedBy>
  <dcterms:modified xsi:type="dcterms:W3CDTF">2025-06-17T10:00:55Z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97C160A862D2B07145984768A54B22FB</vt:lpwstr>
  </property>
</Properties>
</file>