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pPr>
      <w:r>
        <w:drawing>
          <wp:inline distT="0" distB="0" distL="114300" distR="114300">
            <wp:extent cx="817880" cy="610870"/>
            <wp:effectExtent l="0" t="0" r="127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817880" cy="610870"/>
                    </a:xfrm>
                    <a:prstGeom prst="rect">
                      <a:avLst/>
                    </a:prstGeom>
                    <a:noFill/>
                    <a:ln>
                      <a:noFill/>
                    </a:ln>
                  </pic:spPr>
                </pic:pic>
              </a:graphicData>
            </a:graphic>
          </wp:inline>
        </w:drawing>
      </w:r>
    </w:p>
    <w:p>
      <w:pPr>
        <w:snapToGrid w:val="0"/>
        <w:jc w:val="center"/>
        <w:rPr>
          <w:rFonts w:ascii="方正大标宋简体" w:hAnsi="宋体" w:eastAsia="方正大标宋简体"/>
          <w:sz w:val="44"/>
          <w:szCs w:val="44"/>
        </w:rPr>
      </w:pPr>
      <w:r>
        <w:rPr>
          <w:rFonts w:hint="eastAsia" w:ascii="方正大标宋简体" w:hAnsi="宋体" w:eastAsia="方正大标宋简体" w:cs="方正小标宋简体"/>
          <w:sz w:val="44"/>
          <w:szCs w:val="44"/>
          <w:lang w:val="en-US" w:eastAsia="zh-CN"/>
        </w:rPr>
        <w:t>2024</w:t>
      </w:r>
      <w:r>
        <w:rPr>
          <w:rFonts w:hint="eastAsia" w:ascii="方正大标宋简体" w:hAnsi="宋体" w:eastAsia="方正大标宋简体" w:cs="方正小标宋简体"/>
          <w:sz w:val="44"/>
          <w:szCs w:val="44"/>
        </w:rPr>
        <w:t>年度</w:t>
      </w:r>
      <w:r>
        <w:rPr>
          <w:rFonts w:hint="eastAsia" w:ascii="方正大标宋简体" w:hAnsi="宋体" w:eastAsia="方正大标宋简体" w:cs="方正小标宋简体"/>
          <w:sz w:val="44"/>
          <w:szCs w:val="44"/>
          <w:lang w:eastAsia="zh-CN"/>
        </w:rPr>
        <w:t>福彩公益金</w:t>
      </w:r>
      <w:r>
        <w:rPr>
          <w:rFonts w:hint="eastAsia" w:ascii="方正大标宋简体" w:hAnsi="宋体" w:eastAsia="方正大标宋简体" w:cs="方正小标宋简体"/>
          <w:sz w:val="44"/>
          <w:szCs w:val="44"/>
        </w:rPr>
        <w:t>项目自评表</w:t>
      </w:r>
    </w:p>
    <w:p>
      <w:pPr>
        <w:widowControl/>
        <w:snapToGrid w:val="0"/>
        <w:spacing w:line="580" w:lineRule="exact"/>
        <w:jc w:val="left"/>
        <w:rPr>
          <w:rFonts w:hint="default" w:ascii="楷体_GB2312" w:hAnsi="楷体" w:eastAsia="楷体_GB2312" w:cs="楷体_GB2312"/>
          <w:b/>
          <w:sz w:val="32"/>
          <w:szCs w:val="32"/>
          <w:lang w:val="en-US" w:eastAsia="zh-CN"/>
        </w:rPr>
      </w:pPr>
      <w:r>
        <w:rPr>
          <w:rFonts w:hint="eastAsia" w:ascii="楷体_GB2312" w:hAnsi="楷体" w:eastAsia="楷体_GB2312" w:cs="楷体_GB2312"/>
          <w:b/>
          <w:sz w:val="32"/>
          <w:szCs w:val="32"/>
        </w:rPr>
        <w:t>填报日期：</w:t>
      </w:r>
      <w:r>
        <w:rPr>
          <w:rFonts w:hint="eastAsia" w:ascii="楷体_GB2312" w:hAnsi="楷体" w:eastAsia="楷体_GB2312" w:cs="楷体_GB2312"/>
          <w:b/>
          <w:sz w:val="32"/>
          <w:szCs w:val="32"/>
          <w:lang w:val="en-US" w:eastAsia="zh-CN"/>
        </w:rPr>
        <w:t>2025年5月30日</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76"/>
        <w:gridCol w:w="1146"/>
        <w:gridCol w:w="1319"/>
        <w:gridCol w:w="923"/>
        <w:gridCol w:w="394"/>
        <w:gridCol w:w="1584"/>
        <w:gridCol w:w="54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项目名称</w:t>
            </w:r>
          </w:p>
        </w:tc>
        <w:tc>
          <w:tcPr>
            <w:tcW w:w="7444" w:type="dxa"/>
            <w:gridSpan w:val="7"/>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社会养老服务体系建设转移支付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主管部门</w:t>
            </w:r>
          </w:p>
        </w:tc>
        <w:tc>
          <w:tcPr>
            <w:tcW w:w="3388" w:type="dxa"/>
            <w:gridSpan w:val="3"/>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黄石市民政局</w:t>
            </w:r>
          </w:p>
        </w:tc>
        <w:tc>
          <w:tcPr>
            <w:tcW w:w="2520"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项目实施单位</w:t>
            </w:r>
          </w:p>
        </w:tc>
        <w:tc>
          <w:tcPr>
            <w:tcW w:w="153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lang w:eastAsia="zh-CN"/>
              </w:rPr>
              <w:t>开发区</w:t>
            </w:r>
            <w:r>
              <w:rPr>
                <w:rFonts w:hint="eastAsia" w:ascii="仿宋_GB2312" w:hAnsi="宋体" w:eastAsia="仿宋_GB2312" w:cs="仿宋_GB2312"/>
                <w:kern w:val="0"/>
                <w:lang w:val="en-US" w:eastAsia="zh-CN"/>
              </w:rPr>
              <w:t>·铁山</w:t>
            </w:r>
            <w:r>
              <w:rPr>
                <w:rFonts w:hint="eastAsia" w:ascii="仿宋_GB2312" w:hAnsi="宋体" w:eastAsia="仿宋_GB2312" w:cs="仿宋_GB2312"/>
                <w:kern w:val="0"/>
                <w:lang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项目类别</w:t>
            </w:r>
          </w:p>
        </w:tc>
        <w:tc>
          <w:tcPr>
            <w:tcW w:w="7444" w:type="dxa"/>
            <w:gridSpan w:val="7"/>
            <w:vAlign w:val="center"/>
          </w:tcPr>
          <w:p>
            <w:pPr>
              <w:keepNext w:val="0"/>
              <w:keepLines w:val="0"/>
              <w:widowControl/>
              <w:suppressLineNumbers w:val="0"/>
              <w:snapToGrid w:val="0"/>
              <w:spacing w:before="0" w:beforeAutospacing="0" w:after="0" w:afterAutospacing="0"/>
              <w:ind w:left="0" w:right="0"/>
              <w:jc w:val="left"/>
              <w:rPr>
                <w:rFonts w:hint="default" w:ascii="仿宋_GB2312" w:hAnsi="宋体" w:eastAsia="仿宋_GB2312"/>
                <w:kern w:val="0"/>
              </w:rPr>
            </w:pPr>
            <w:r>
              <w:rPr>
                <w:rFonts w:hint="default" w:ascii="仿宋_GB2312" w:hAnsi="宋体" w:eastAsia="仿宋_GB2312" w:cs="仿宋_GB2312"/>
                <w:kern w:val="0"/>
              </w:rPr>
              <w:t>1</w:t>
            </w:r>
            <w:r>
              <w:rPr>
                <w:rFonts w:hint="eastAsia" w:ascii="仿宋_GB2312" w:hAnsi="宋体" w:eastAsia="仿宋_GB2312" w:cs="仿宋_GB2312"/>
                <w:kern w:val="0"/>
              </w:rPr>
              <w:t>、部门预算项目</w:t>
            </w:r>
            <w:r>
              <w:rPr>
                <w:rFonts w:hint="default"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hint="default" w:ascii="仿宋_GB2312" w:hAnsi="宋体" w:eastAsia="仿宋_GB2312" w:cs="仿宋_GB2312"/>
                <w:kern w:val="0"/>
              </w:rPr>
              <w:t xml:space="preserve">   2</w:t>
            </w:r>
            <w:r>
              <w:rPr>
                <w:rFonts w:hint="eastAsia" w:ascii="仿宋_GB2312" w:hAnsi="宋体" w:eastAsia="仿宋_GB2312" w:cs="仿宋_GB2312"/>
                <w:kern w:val="0"/>
              </w:rPr>
              <w:t>、市直专项</w:t>
            </w:r>
            <w:r>
              <w:rPr>
                <w:rFonts w:hint="default"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hint="eastAsia" w:ascii="仿宋_GB2312" w:hAnsi="宋体" w:eastAsia="仿宋_GB2312" w:cs="仿宋_GB2312"/>
                <w:kern w:val="0"/>
              </w:rPr>
              <w:sym w:font="Wingdings 2" w:char="0052"/>
            </w:r>
            <w:r>
              <w:rPr>
                <w:rFonts w:hint="default"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项目属性</w:t>
            </w:r>
          </w:p>
        </w:tc>
        <w:tc>
          <w:tcPr>
            <w:tcW w:w="7444" w:type="dxa"/>
            <w:gridSpan w:val="7"/>
            <w:vAlign w:val="center"/>
          </w:tcPr>
          <w:p>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rPr>
            </w:pPr>
            <w:r>
              <w:rPr>
                <w:rFonts w:hint="default" w:ascii="仿宋_GB2312" w:hAnsi="宋体" w:eastAsia="仿宋_GB2312" w:cs="仿宋_GB2312"/>
                <w:kern w:val="0"/>
              </w:rPr>
              <w:t>1</w:t>
            </w:r>
            <w:r>
              <w:rPr>
                <w:rFonts w:hint="eastAsia" w:ascii="仿宋_GB2312" w:hAnsi="宋体" w:eastAsia="仿宋_GB2312" w:cs="仿宋_GB2312"/>
                <w:kern w:val="0"/>
              </w:rPr>
              <w:t>、持续性项目</w:t>
            </w:r>
            <w:r>
              <w:rPr>
                <w:rFonts w:hint="default"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hint="default" w:ascii="仿宋_GB2312" w:hAnsi="宋体" w:eastAsia="仿宋_GB2312" w:cs="仿宋_GB2312"/>
                <w:kern w:val="0"/>
              </w:rPr>
              <w:t xml:space="preserve">   2</w:t>
            </w:r>
            <w:r>
              <w:rPr>
                <w:rFonts w:hint="eastAsia" w:ascii="仿宋_GB2312" w:hAnsi="宋体" w:eastAsia="仿宋_GB2312" w:cs="仿宋_GB2312"/>
                <w:kern w:val="0"/>
              </w:rPr>
              <w:t>、新增性项目</w:t>
            </w:r>
            <w:r>
              <w:rPr>
                <w:rFonts w:hint="default" w:ascii="仿宋_GB2312" w:hAnsi="宋体" w:eastAsia="仿宋_GB2312" w:cs="仿宋_GB2312"/>
                <w:kern w:val="0"/>
              </w:rPr>
              <w:t xml:space="preserve"> </w:t>
            </w:r>
            <w:r>
              <w:rPr>
                <w:rFonts w:hint="eastAsia" w:ascii="仿宋_GB2312" w:hAnsi="宋体" w:eastAsia="仿宋_GB2312" w:cs="仿宋_GB2312"/>
                <w:kern w:val="0"/>
              </w:rPr>
              <w:t>□</w:t>
            </w:r>
            <w:r>
              <w:rPr>
                <w:rFonts w:hint="default"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项目类型</w:t>
            </w:r>
          </w:p>
        </w:tc>
        <w:tc>
          <w:tcPr>
            <w:tcW w:w="7444" w:type="dxa"/>
            <w:gridSpan w:val="7"/>
            <w:vAlign w:val="center"/>
          </w:tcPr>
          <w:p>
            <w:pPr>
              <w:keepNext w:val="0"/>
              <w:keepLines w:val="0"/>
              <w:widowControl/>
              <w:suppressLineNumbers w:val="0"/>
              <w:snapToGrid w:val="0"/>
              <w:spacing w:before="0" w:beforeAutospacing="0" w:after="0" w:afterAutospacing="0"/>
              <w:ind w:left="0" w:right="0"/>
              <w:jc w:val="left"/>
              <w:rPr>
                <w:rFonts w:hint="default" w:ascii="仿宋_GB2312" w:hAnsi="宋体" w:eastAsia="仿宋_GB2312"/>
                <w:kern w:val="0"/>
              </w:rPr>
            </w:pPr>
            <w:r>
              <w:rPr>
                <w:rFonts w:hint="default" w:ascii="仿宋_GB2312" w:hAnsi="宋体" w:eastAsia="仿宋_GB2312" w:cs="仿宋_GB2312"/>
                <w:kern w:val="0"/>
              </w:rPr>
              <w:t>1</w:t>
            </w:r>
            <w:r>
              <w:rPr>
                <w:rFonts w:hint="eastAsia" w:ascii="仿宋_GB2312" w:hAnsi="宋体" w:eastAsia="仿宋_GB2312" w:cs="仿宋_GB2312"/>
                <w:kern w:val="0"/>
              </w:rPr>
              <w:t>、常年性项目</w:t>
            </w:r>
            <w:r>
              <w:rPr>
                <w:rFonts w:hint="default" w:ascii="仿宋_GB2312" w:hAnsi="宋体" w:eastAsia="仿宋_GB2312" w:cs="仿宋_GB2312"/>
                <w:kern w:val="0"/>
              </w:rPr>
              <w:t xml:space="preserve">     </w:t>
            </w:r>
            <w:r>
              <w:rPr>
                <w:rFonts w:hint="eastAsia" w:ascii="仿宋_GB2312" w:hAnsi="宋体" w:eastAsia="仿宋_GB2312" w:cs="仿宋_GB2312"/>
                <w:kern w:val="0"/>
                <w:lang w:eastAsia="zh-CN"/>
              </w:rPr>
              <w:sym w:font="Wingdings 2" w:char="0052"/>
            </w:r>
            <w:r>
              <w:rPr>
                <w:rFonts w:hint="default" w:ascii="仿宋_GB2312" w:hAnsi="宋体" w:eastAsia="仿宋_GB2312" w:cs="仿宋_GB2312"/>
                <w:kern w:val="0"/>
              </w:rPr>
              <w:t xml:space="preserve">   2</w:t>
            </w:r>
            <w:r>
              <w:rPr>
                <w:rFonts w:hint="eastAsia" w:ascii="仿宋_GB2312" w:hAnsi="宋体" w:eastAsia="仿宋_GB2312" w:cs="仿宋_GB2312"/>
                <w:kern w:val="0"/>
              </w:rPr>
              <w:t>、延续性项目</w:t>
            </w:r>
            <w:r>
              <w:rPr>
                <w:rFonts w:hint="default"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hint="default" w:ascii="仿宋_GB2312" w:hAnsi="宋体" w:eastAsia="仿宋_GB2312" w:cs="仿宋_GB2312"/>
                <w:kern w:val="0"/>
              </w:rPr>
              <w:t xml:space="preserve">      3</w:t>
            </w:r>
            <w:r>
              <w:rPr>
                <w:rFonts w:hint="eastAsia" w:ascii="仿宋_GB2312" w:hAnsi="宋体" w:eastAsia="仿宋_GB2312" w:cs="仿宋_GB2312"/>
                <w:kern w:val="0"/>
              </w:rPr>
              <w:t>、一次性项目</w:t>
            </w:r>
            <w:r>
              <w:rPr>
                <w:rFonts w:hint="default"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Merge w:val="restart"/>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预算执行情况（万元）</w:t>
            </w:r>
          </w:p>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319"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rPr>
              <w:t>预算数（</w:t>
            </w:r>
            <w:r>
              <w:rPr>
                <w:rFonts w:hint="default" w:ascii="仿宋_GB2312" w:hAnsi="宋体" w:eastAsia="仿宋_GB2312" w:cs="仿宋_GB2312"/>
                <w:kern w:val="0"/>
              </w:rPr>
              <w:t>A）</w:t>
            </w:r>
          </w:p>
        </w:tc>
        <w:tc>
          <w:tcPr>
            <w:tcW w:w="1317"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rPr>
              <w:t>执行数</w:t>
            </w:r>
            <w:r>
              <w:rPr>
                <w:rFonts w:hint="default" w:ascii="仿宋_GB2312" w:hAnsi="宋体" w:eastAsia="仿宋_GB2312" w:cs="仿宋_GB2312"/>
                <w:kern w:val="0"/>
              </w:rPr>
              <w:t>（B）</w:t>
            </w:r>
          </w:p>
        </w:tc>
        <w:tc>
          <w:tcPr>
            <w:tcW w:w="3662"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执行率</w:t>
            </w:r>
            <w:r>
              <w:rPr>
                <w:rFonts w:hint="default"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Merge w:val="continue"/>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年度财政资金总额</w:t>
            </w:r>
          </w:p>
        </w:tc>
        <w:tc>
          <w:tcPr>
            <w:tcW w:w="1319"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91.45</w:t>
            </w:r>
          </w:p>
        </w:tc>
        <w:tc>
          <w:tcPr>
            <w:tcW w:w="1317"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88.2461</w:t>
            </w:r>
          </w:p>
        </w:tc>
        <w:tc>
          <w:tcPr>
            <w:tcW w:w="3662"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lang w:val="en-US" w:eastAsia="zh-CN"/>
              </w:rPr>
            </w:pPr>
            <w:bookmarkStart w:id="0" w:name="_GoBack"/>
            <w:bookmarkEnd w:id="0"/>
            <w:r>
              <w:rPr>
                <w:rFonts w:hint="eastAsia" w:ascii="仿宋_GB2312" w:hAnsi="宋体" w:eastAsia="仿宋_GB2312"/>
                <w:kern w:val="0"/>
                <w:lang w:val="en-US" w:eastAsia="zh-CN"/>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rPr>
              <w:t>年度绩效目标</w:t>
            </w:r>
          </w:p>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一级指标</w:t>
            </w: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二级指标</w:t>
            </w:r>
          </w:p>
        </w:tc>
        <w:tc>
          <w:tcPr>
            <w:tcW w:w="2636"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三级指标</w:t>
            </w:r>
          </w:p>
        </w:tc>
        <w:tc>
          <w:tcPr>
            <w:tcW w:w="1584"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rPr>
              <w:t>年初目标值（</w:t>
            </w:r>
            <w:r>
              <w:rPr>
                <w:rFonts w:hint="default" w:ascii="仿宋_GB2312" w:hAnsi="宋体" w:eastAsia="仿宋_GB2312" w:cs="仿宋_GB2312"/>
                <w:kern w:val="0"/>
              </w:rPr>
              <w:t>A</w:t>
            </w:r>
            <w:r>
              <w:rPr>
                <w:rFonts w:hint="eastAsia" w:ascii="仿宋_GB2312" w:hAnsi="宋体" w:eastAsia="仿宋_GB2312" w:cs="仿宋_GB2312"/>
                <w:kern w:val="0"/>
              </w:rPr>
              <w:t>）</w:t>
            </w:r>
          </w:p>
        </w:tc>
        <w:tc>
          <w:tcPr>
            <w:tcW w:w="2078"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实际完成值（</w:t>
            </w:r>
            <w:r>
              <w:rPr>
                <w:rFonts w:hint="default"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restart"/>
            <w:vAlign w:val="center"/>
          </w:tcPr>
          <w:p>
            <w:pPr>
              <w:keepNext w:val="0"/>
              <w:keepLines w:val="0"/>
              <w:suppressLineNumbers w:val="0"/>
              <w:snapToGrid w:val="0"/>
              <w:spacing w:before="0" w:beforeAutospacing="0" w:after="0" w:afterAutospacing="0"/>
              <w:ind w:left="0" w:right="0"/>
              <w:jc w:val="both"/>
              <w:rPr>
                <w:rFonts w:hint="default" w:ascii="仿宋_GB2312" w:hAnsi="宋体" w:eastAsia="仿宋_GB2312"/>
                <w:kern w:val="0"/>
              </w:rPr>
            </w:pPr>
            <w:r>
              <w:rPr>
                <w:rFonts w:hint="eastAsia" w:ascii="仿宋_GB2312" w:hAnsi="宋体" w:eastAsia="仿宋_GB2312" w:cs="仿宋_GB2312"/>
                <w:kern w:val="0"/>
              </w:rPr>
              <w:t>产出指标</w:t>
            </w:r>
          </w:p>
        </w:tc>
        <w:tc>
          <w:tcPr>
            <w:tcW w:w="1146" w:type="dxa"/>
            <w:vMerge w:val="restart"/>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lang w:eastAsia="zh-CN"/>
              </w:rPr>
              <w:t>数量指标</w:t>
            </w: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农村互助照料中心提档升级2家（大王镇金湖村、汪仁镇黄荆头村），每家补助10万元</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20万元</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continue"/>
            <w:vAlign w:val="center"/>
          </w:tcPr>
          <w:p>
            <w:pPr>
              <w:keepNext w:val="0"/>
              <w:keepLines w:val="0"/>
              <w:suppressLineNumbers w:val="0"/>
              <w:snapToGrid w:val="0"/>
              <w:spacing w:before="0" w:beforeAutospacing="0" w:after="0" w:afterAutospacing="0"/>
              <w:ind w:left="0" w:right="0"/>
              <w:jc w:val="both"/>
              <w:rPr>
                <w:rFonts w:hint="eastAsia" w:ascii="仿宋_GB2312" w:hAnsi="宋体" w:eastAsia="仿宋_GB2312" w:cs="仿宋_GB2312"/>
                <w:kern w:val="0"/>
              </w:rPr>
            </w:pPr>
          </w:p>
        </w:tc>
        <w:tc>
          <w:tcPr>
            <w:tcW w:w="1146" w:type="dxa"/>
            <w:vMerge w:val="continue"/>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kern w:val="0"/>
                <w:lang w:eastAsia="zh-CN"/>
              </w:rPr>
            </w:pP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特殊困难老人适老化改造100户，平均每户不低于3000元</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30万元</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26.7961万元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continue"/>
            <w:vAlign w:val="center"/>
          </w:tcPr>
          <w:p>
            <w:pPr>
              <w:keepNext w:val="0"/>
              <w:keepLines w:val="0"/>
              <w:suppressLineNumbers w:val="0"/>
              <w:snapToGrid w:val="0"/>
              <w:spacing w:before="0" w:beforeAutospacing="0" w:after="0" w:afterAutospacing="0"/>
              <w:ind w:left="0" w:right="0"/>
              <w:jc w:val="both"/>
              <w:rPr>
                <w:rFonts w:hint="eastAsia" w:ascii="仿宋_GB2312" w:hAnsi="宋体" w:eastAsia="仿宋_GB2312" w:cs="仿宋_GB2312"/>
                <w:kern w:val="0"/>
              </w:rPr>
            </w:pPr>
          </w:p>
        </w:tc>
        <w:tc>
          <w:tcPr>
            <w:tcW w:w="1146" w:type="dxa"/>
            <w:vMerge w:val="continue"/>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kern w:val="0"/>
                <w:lang w:eastAsia="zh-CN"/>
              </w:rPr>
            </w:pP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幸福食堂补助（大王镇金湖村、铁山街道九龙洞社区、金山街道奥美社区各补助6万元；铁山街道冶矿路社区补助5万元；大王镇陈宝村、章山街道龙山村各补助4万元；铁山街道盛洪卿社区补助3万元；大王镇港西村、港沟村、太子镇洪桥村各补助2万元）</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40万元</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continue"/>
            <w:vAlign w:val="center"/>
          </w:tcPr>
          <w:p>
            <w:pPr>
              <w:keepNext w:val="0"/>
              <w:keepLines w:val="0"/>
              <w:suppressLineNumbers w:val="0"/>
              <w:snapToGrid w:val="0"/>
              <w:spacing w:before="0" w:beforeAutospacing="0" w:after="0" w:afterAutospacing="0"/>
              <w:ind w:left="0" w:right="0"/>
              <w:jc w:val="both"/>
              <w:rPr>
                <w:rFonts w:hint="eastAsia" w:ascii="仿宋_GB2312" w:hAnsi="宋体" w:eastAsia="仿宋_GB2312" w:cs="仿宋_GB2312"/>
                <w:kern w:val="0"/>
              </w:rPr>
            </w:pPr>
          </w:p>
        </w:tc>
        <w:tc>
          <w:tcPr>
            <w:tcW w:w="1146" w:type="dxa"/>
            <w:vMerge w:val="continue"/>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kern w:val="0"/>
                <w:lang w:eastAsia="zh-CN"/>
              </w:rPr>
            </w:pP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养老护理员一次性技能补贴3人，每人1000元</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0.3万元</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continue"/>
            <w:vAlign w:val="center"/>
          </w:tcPr>
          <w:p>
            <w:pPr>
              <w:keepNext w:val="0"/>
              <w:keepLines w:val="0"/>
              <w:suppressLineNumbers w:val="0"/>
              <w:snapToGrid w:val="0"/>
              <w:spacing w:before="0" w:beforeAutospacing="0" w:after="0" w:afterAutospacing="0"/>
              <w:ind w:left="0" w:right="0"/>
              <w:jc w:val="both"/>
              <w:rPr>
                <w:rFonts w:hint="eastAsia" w:ascii="仿宋_GB2312" w:hAnsi="宋体" w:eastAsia="仿宋_GB2312" w:cs="仿宋_GB2312"/>
                <w:kern w:val="0"/>
              </w:rPr>
            </w:pPr>
          </w:p>
        </w:tc>
        <w:tc>
          <w:tcPr>
            <w:tcW w:w="1146" w:type="dxa"/>
            <w:vMerge w:val="continue"/>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kern w:val="0"/>
                <w:lang w:eastAsia="zh-CN"/>
              </w:rPr>
            </w:pP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黄金山中心福利院服务能力提升</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1.15万元</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continue"/>
            <w:vAlign w:val="center"/>
          </w:tcPr>
          <w:p>
            <w:pPr>
              <w:keepNext w:val="0"/>
              <w:keepLines w:val="0"/>
              <w:suppressLineNumbers w:val="0"/>
              <w:snapToGrid w:val="0"/>
              <w:spacing w:before="0" w:beforeAutospacing="0" w:after="0" w:afterAutospacing="0"/>
              <w:ind w:left="0" w:right="0"/>
              <w:jc w:val="both"/>
              <w:rPr>
                <w:rFonts w:hint="eastAsia" w:ascii="仿宋_GB2312" w:hAnsi="宋体" w:eastAsia="仿宋_GB2312" w:cs="仿宋_GB2312"/>
                <w:kern w:val="0"/>
              </w:rPr>
            </w:pPr>
          </w:p>
        </w:tc>
        <w:tc>
          <w:tcPr>
            <w:tcW w:w="1146" w:type="dxa"/>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_GB2312" w:hAnsi="宋体" w:eastAsia="仿宋_GB2312" w:cs="仿宋_GB2312"/>
                <w:kern w:val="0"/>
                <w:lang w:eastAsia="zh-CN"/>
              </w:rPr>
            </w:pPr>
            <w:r>
              <w:rPr>
                <w:rFonts w:hint="eastAsia" w:ascii="仿宋_GB2312" w:hAnsi="宋体" w:eastAsia="仿宋_GB2312" w:cs="仿宋_GB2312"/>
                <w:kern w:val="0"/>
                <w:sz w:val="21"/>
                <w:szCs w:val="21"/>
                <w:lang w:val="en-US" w:eastAsia="zh-CN" w:bidi="ar"/>
              </w:rPr>
              <w:t>质量指标</w:t>
            </w:r>
          </w:p>
        </w:tc>
        <w:tc>
          <w:tcPr>
            <w:tcW w:w="2636" w:type="dxa"/>
            <w:gridSpan w:val="3"/>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_GB2312" w:hAnsi="宋体" w:eastAsia="仿宋_GB2312" w:cs="仿宋_GB2312"/>
                <w:kern w:val="0"/>
                <w:sz w:val="21"/>
                <w:szCs w:val="21"/>
                <w:lang w:val="en-US" w:eastAsia="zh-CN" w:bidi="ar"/>
              </w:rPr>
              <w:t>质量合格率</w:t>
            </w:r>
          </w:p>
        </w:tc>
        <w:tc>
          <w:tcPr>
            <w:tcW w:w="158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100%</w:t>
            </w:r>
          </w:p>
        </w:tc>
        <w:tc>
          <w:tcPr>
            <w:tcW w:w="2078" w:type="dxa"/>
            <w:gridSpan w:val="2"/>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Merge w:val="continue"/>
            <w:vAlign w:val="center"/>
          </w:tcPr>
          <w:p>
            <w:pPr>
              <w:keepNext w:val="0"/>
              <w:keepLines w:val="0"/>
              <w:suppressLineNumbers w:val="0"/>
              <w:snapToGrid w:val="0"/>
              <w:spacing w:before="0" w:beforeAutospacing="0" w:after="0" w:afterAutospacing="0"/>
              <w:ind w:left="0" w:right="0"/>
              <w:jc w:val="both"/>
              <w:rPr>
                <w:rFonts w:hint="eastAsia" w:ascii="仿宋_GB2312" w:hAnsi="宋体" w:eastAsia="仿宋_GB2312" w:cs="仿宋_GB2312"/>
                <w:kern w:val="0"/>
              </w:rPr>
            </w:pPr>
          </w:p>
        </w:tc>
        <w:tc>
          <w:tcPr>
            <w:tcW w:w="1146" w:type="dxa"/>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_GB2312" w:hAnsi="宋体" w:eastAsia="仿宋_GB2312" w:cs="仿宋_GB2312"/>
                <w:kern w:val="0"/>
                <w:lang w:eastAsia="zh-CN"/>
              </w:rPr>
            </w:pPr>
            <w:r>
              <w:rPr>
                <w:rFonts w:hint="eastAsia" w:ascii="仿宋_GB2312" w:hAnsi="宋体" w:eastAsia="仿宋_GB2312" w:cs="仿宋_GB2312"/>
                <w:kern w:val="0"/>
                <w:sz w:val="21"/>
                <w:szCs w:val="21"/>
                <w:lang w:val="en-US" w:eastAsia="zh-CN" w:bidi="ar"/>
              </w:rPr>
              <w:t>时效指标</w:t>
            </w:r>
          </w:p>
        </w:tc>
        <w:tc>
          <w:tcPr>
            <w:tcW w:w="2636" w:type="dxa"/>
            <w:gridSpan w:val="3"/>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_GB2312" w:hAnsi="宋体" w:eastAsia="仿宋_GB2312" w:cs="仿宋_GB2312"/>
                <w:kern w:val="0"/>
                <w:sz w:val="21"/>
                <w:szCs w:val="21"/>
                <w:lang w:val="en-US" w:eastAsia="zh-CN" w:bidi="ar"/>
              </w:rPr>
              <w:t>计划及时完成率</w:t>
            </w:r>
          </w:p>
        </w:tc>
        <w:tc>
          <w:tcPr>
            <w:tcW w:w="158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100%</w:t>
            </w:r>
          </w:p>
        </w:tc>
        <w:tc>
          <w:tcPr>
            <w:tcW w:w="2078" w:type="dxa"/>
            <w:gridSpan w:val="2"/>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Align w:val="center"/>
          </w:tcPr>
          <w:p>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效益指标</w:t>
            </w: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lang w:val="en-US" w:eastAsia="zh-CN"/>
              </w:rPr>
              <w:t>社会效益指标</w:t>
            </w: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维持养老服务体系建设</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100%</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67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kern w:val="0"/>
              </w:rPr>
              <w:t>满意度指标</w:t>
            </w: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rPr>
            </w:pPr>
            <w:r>
              <w:rPr>
                <w:rFonts w:hint="eastAsia" w:ascii="仿宋_GB2312" w:hAnsi="宋体" w:eastAsia="仿宋_GB2312" w:cs="仿宋_GB2312"/>
                <w:kern w:val="0"/>
                <w:lang w:val="en-US" w:eastAsia="zh-CN"/>
              </w:rPr>
              <w:t>服务对象满意度指标</w:t>
            </w:r>
          </w:p>
        </w:tc>
        <w:tc>
          <w:tcPr>
            <w:tcW w:w="2636" w:type="dxa"/>
            <w:gridSpan w:val="3"/>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老年群众满意度</w:t>
            </w:r>
          </w:p>
        </w:tc>
        <w:tc>
          <w:tcPr>
            <w:tcW w:w="158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≥98%</w:t>
            </w:r>
          </w:p>
        </w:tc>
        <w:tc>
          <w:tcPr>
            <w:tcW w:w="2078" w:type="dxa"/>
            <w:gridSpan w:val="2"/>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theme="minorBidi"/>
                <w:kern w:val="0"/>
                <w:sz w:val="21"/>
                <w:szCs w:val="24"/>
                <w:lang w:val="en-US" w:eastAsia="zh-CN" w:bidi="ar-SA"/>
              </w:rPr>
            </w:pPr>
            <w:r>
              <w:rPr>
                <w:rFonts w:hint="eastAsia" w:ascii="仿宋" w:hAnsi="仿宋" w:eastAsia="仿宋" w:cs="仿宋"/>
                <w:i w:val="0"/>
                <w:iCs w:val="0"/>
                <w:color w:val="000000"/>
                <w:kern w:val="0"/>
                <w:sz w:val="22"/>
                <w:szCs w:val="22"/>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28"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w:t>
            </w:r>
          </w:p>
        </w:tc>
        <w:tc>
          <w:tcPr>
            <w:tcW w:w="67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146"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2636" w:type="dxa"/>
            <w:gridSpan w:val="3"/>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1584" w:type="dxa"/>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c>
          <w:tcPr>
            <w:tcW w:w="2078"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504" w:type="dxa"/>
            <w:gridSpan w:val="2"/>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偏差大或</w:t>
            </w:r>
          </w:p>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目标未完成</w:t>
            </w:r>
          </w:p>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原因分析</w:t>
            </w:r>
          </w:p>
        </w:tc>
        <w:tc>
          <w:tcPr>
            <w:tcW w:w="7444" w:type="dxa"/>
            <w:gridSpan w:val="7"/>
            <w:vAlign w:val="center"/>
          </w:tcPr>
          <w:p>
            <w:pPr>
              <w:keepNext w:val="0"/>
              <w:keepLines w:val="0"/>
              <w:widowControl/>
              <w:suppressLineNumbers w:val="0"/>
              <w:spacing w:before="0" w:beforeAutospacing="0" w:after="0" w:afterAutospacing="0"/>
              <w:ind w:left="0" w:right="0"/>
              <w:jc w:val="both"/>
              <w:rPr>
                <w:rFonts w:hint="eastAsia" w:ascii="仿宋_GB2312" w:hAnsi="宋体" w:eastAsia="仿宋_GB2312"/>
                <w:kern w:val="0"/>
                <w:lang w:eastAsia="zh-CN"/>
              </w:rPr>
            </w:pPr>
            <w:r>
              <w:rPr>
                <w:rFonts w:hint="eastAsia" w:ascii="仿宋_GB2312" w:hAnsi="宋体" w:eastAsia="仿宋_GB2312"/>
                <w:kern w:val="0"/>
                <w:lang w:eastAsia="zh-CN"/>
              </w:rPr>
              <w:t>2024年我区实施100户特殊困难老年人家庭适老化改造工程，经第三方审核项目总价30.2841万元。资金分两期支付，2024年12月11日付3.488万元，2025年3月28日从社会养老服务体系建设资金91.45万元中支付26.7961万元，资金使用严格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1504" w:type="dxa"/>
            <w:gridSpan w:val="2"/>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改进措施及</w:t>
            </w:r>
          </w:p>
          <w:p>
            <w:pPr>
              <w:keepNext w:val="0"/>
              <w:keepLines w:val="0"/>
              <w:widowControl/>
              <w:suppressLineNumbers w:val="0"/>
              <w:spacing w:before="0" w:beforeAutospacing="0" w:after="0" w:afterAutospacing="0"/>
              <w:ind w:left="0" w:right="0"/>
              <w:jc w:val="center"/>
              <w:rPr>
                <w:rFonts w:hint="default" w:ascii="仿宋_GB2312" w:hAnsi="宋体" w:eastAsia="仿宋_GB2312"/>
                <w:kern w:val="0"/>
              </w:rPr>
            </w:pPr>
            <w:r>
              <w:rPr>
                <w:rFonts w:hint="eastAsia" w:ascii="仿宋_GB2312" w:hAnsi="宋体" w:eastAsia="仿宋_GB2312" w:cs="仿宋_GB2312"/>
                <w:kern w:val="0"/>
              </w:rPr>
              <w:t>结果应用方案</w:t>
            </w:r>
          </w:p>
        </w:tc>
        <w:tc>
          <w:tcPr>
            <w:tcW w:w="7444" w:type="dxa"/>
            <w:gridSpan w:val="7"/>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kern w:val="0"/>
                <w:lang w:eastAsia="zh-CN"/>
              </w:rPr>
            </w:pPr>
            <w:r>
              <w:rPr>
                <w:rFonts w:hint="eastAsia" w:ascii="仿宋_GB2312" w:hAnsi="宋体" w:eastAsia="仿宋_GB2312"/>
                <w:kern w:val="0"/>
                <w:lang w:eastAsia="zh-CN"/>
              </w:rPr>
              <w:t>无</w:t>
            </w: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预算执行情况口径：预算数为调整后财政资金总额（包括上年结余结转），执行数为资金使用单位财政资金实际支出数。涉及政府采购的项目支出要设置相关绩效指标反映政府采购管理情况。</w:t>
      </w:r>
    </w:p>
    <w:p>
      <w:pPr>
        <w:rPr>
          <w:rFonts w:ascii="仿宋_GB2312" w:hAnsi="宋体" w:eastAsia="仿宋_GB2312" w:cs="仿宋_GB2312"/>
          <w:kern w:val="0"/>
        </w:rPr>
      </w:pPr>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p>
    <w:p>
      <w:pPr>
        <w:rPr>
          <w:rFonts w:ascii="仿宋_GB2312" w:hAnsi="宋体" w:eastAsia="仿宋_GB2312" w:cs="仿宋_GB2312"/>
          <w:kern w:val="0"/>
        </w:rPr>
      </w:pPr>
      <w:r>
        <w:rPr>
          <w:rFonts w:hint="eastAsia" w:ascii="仿宋_GB2312" w:hAnsi="宋体" w:eastAsia="仿宋_GB2312" w:cs="仿宋_GB2312"/>
          <w:kern w:val="0"/>
          <w:lang w:val="en-US" w:eastAsia="zh-CN"/>
        </w:rPr>
        <w:t>3</w:t>
      </w:r>
      <w:r>
        <w:rPr>
          <w:rFonts w:hint="eastAsia" w:ascii="仿宋_GB2312" w:hAnsi="宋体" w:eastAsia="仿宋_GB2312" w:cs="仿宋_GB2312"/>
          <w:kern w:val="0"/>
        </w:rPr>
        <w:t>.涉及政府采购的项目支出应设置相关政府采购指标。</w:t>
      </w:r>
    </w:p>
    <w:p>
      <w:pPr>
        <w:widowControl/>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4.本部门单位自评项目较多的亦可自行设计封面，请主要领导在封面上签字并加盖公章。</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F384B"/>
    <w:rsid w:val="01DE122F"/>
    <w:rsid w:val="1DFD9607"/>
    <w:rsid w:val="1EFF5895"/>
    <w:rsid w:val="25B95ED0"/>
    <w:rsid w:val="336716FA"/>
    <w:rsid w:val="59FDE0B1"/>
    <w:rsid w:val="5BBB2654"/>
    <w:rsid w:val="5BD9D627"/>
    <w:rsid w:val="741F384B"/>
    <w:rsid w:val="7B1D161A"/>
    <w:rsid w:val="7B3C16A1"/>
    <w:rsid w:val="7F1E6093"/>
    <w:rsid w:val="7FD88E2E"/>
    <w:rsid w:val="BBFE9813"/>
    <w:rsid w:val="BFC42EC1"/>
    <w:rsid w:val="EC78640E"/>
    <w:rsid w:val="EF48E7DB"/>
    <w:rsid w:val="FBAB3FFA"/>
    <w:rsid w:val="FD2F285D"/>
    <w:rsid w:val="FE4F3A29"/>
    <w:rsid w:val="FEB1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Plain Text"/>
    <w:basedOn w:val="1"/>
    <w:qFormat/>
    <w:uiPriority w:val="0"/>
    <w:rPr>
      <w:rFonts w:ascii="宋体" w:hAnsi="Courier New"/>
    </w:rPr>
  </w:style>
  <w:style w:type="paragraph" w:styleId="4">
    <w:name w:val="Body Text First Indent 2"/>
    <w:basedOn w:val="2"/>
    <w:next w:val="3"/>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736</Words>
  <Characters>820</Characters>
  <Lines>1</Lines>
  <Paragraphs>1</Paragraphs>
  <TotalTime>1</TotalTime>
  <ScaleCrop>false</ScaleCrop>
  <LinksUpToDate>false</LinksUpToDate>
  <CharactersWithSpaces>857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2025-06-13T02:08:00Z</dcterms:created>
  <dc:creator>深海泡泡鱼</dc:creator>
  <cp:lastModifiedBy>Living Spring</cp:lastModifiedBy>
  <dcterms:modified xsi:type="dcterms:W3CDTF">2025-06-17T09:30:27Z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FA5FB21D9A2D74DC079B47685A144FF8</vt:lpwstr>
  </property>
  <property fmtid="{D5CDD505-2E9C-101B-9397-08002B2CF9AE}" pid="4" name="KSOTemplateDocerSaveRecord">
    <vt:lpwstr>eyJoZGlkIjoiZDY5MmJjZGE4NjAzNmQwMDYwNmRjYzZjMTQ1NTk4ZjQiLCJ1c2VySWQiOiIyODk4Njc2ODIifQ==</vt:lpwstr>
  </property>
</Properties>
</file>