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黑体" w:eastAsia="黑体" w:cs="黑体" w:hint="eastAsia"/>
          <w:b w:val="0"/>
          <w:bCs w:val="0"/>
          <w:sz w:val="32"/>
          <w:szCs w:val="32"/>
          <w:shd w:val="clear" w:color="auto" w:fill="auto"/>
          <w:lang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shd w:val="clear" w:color="auto" w:fill="auto"/>
          <w:highlight w:val="auto"/>
        </w:rPr>
      </w:pP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shd w:val="clear" w:color="auto" w:fill="auto"/>
          <w:highlight w:val="auto"/>
        </w:rPr>
        <w:t>关于</w:t>
      </w: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shd w:val="clear" w:color="auto" w:fill="auto"/>
          <w:lang w:eastAsia="zh-CN"/>
          <w:highlight w:val="auto"/>
        </w:rPr>
        <w:t>全区</w:t>
      </w: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shd w:val="clear" w:color="auto" w:fill="auto"/>
          <w:highlight w:val="auto"/>
        </w:rPr>
        <w:t>2025年财政预算执行情况和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shd w:val="clear" w:color="auto" w:fill="auto"/>
          <w:highlight w:val="auto"/>
        </w:rPr>
      </w:pP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shd w:val="clear" w:color="auto" w:fill="auto"/>
          <w:highlight w:val="auto"/>
        </w:rPr>
        <w:t>2026年财政预算（草案）的报告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cs="楷体_GB2312"/>
          <w:color w:val="000000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hint="eastAsia"/>
          <w:spacing w:val="-11"/>
        </w:rPr>
      </w:pPr>
      <w:r>
        <w:rPr>
          <w:rFonts w:ascii="楷体_GB2312" w:eastAsia="楷体_GB2312" w:cs="楷体_GB2312" w:hint="eastAsia"/>
          <w:color w:val="000000"/>
          <w:spacing w:val="-11"/>
          <w:kern w:val="0"/>
          <w:sz w:val="31"/>
          <w:szCs w:val="31"/>
          <w:lang w:val="en-US" w:eastAsia="zh-CN"/>
        </w:rPr>
        <w:t>──</w:t>
      </w:r>
      <w:r>
        <w:rPr>
          <w:rFonts w:ascii="楷体_GB2312" w:eastAsia="楷体_GB2312" w:cs="Times New Roman" w:hint="eastAsia"/>
          <w:color w:val="000000"/>
          <w:spacing w:val="-11"/>
          <w:kern w:val="0"/>
          <w:sz w:val="31"/>
          <w:szCs w:val="31"/>
          <w:lang w:val="en-US" w:eastAsia="zh-CN"/>
        </w:rPr>
        <w:t>2025</w:t>
      </w:r>
      <w:r>
        <w:rPr>
          <w:rFonts w:ascii="楷体_GB2312" w:eastAsia="楷体_GB2312" w:cs="楷体_GB2312" w:hint="eastAsia"/>
          <w:color w:val="000000"/>
          <w:spacing w:val="-11"/>
          <w:kern w:val="0"/>
          <w:sz w:val="31"/>
          <w:szCs w:val="31"/>
          <w:lang w:val="en-US" w:eastAsia="zh-CN"/>
        </w:rPr>
        <w:t>年</w:t>
      </w:r>
      <w:r>
        <w:rPr>
          <w:rFonts w:ascii="楷体_GB2312" w:eastAsia="楷体_GB2312" w:cs="Times New Roman" w:hint="eastAsia"/>
          <w:color w:val="000000"/>
          <w:spacing w:val="-11"/>
          <w:kern w:val="0"/>
          <w:sz w:val="31"/>
          <w:szCs w:val="31"/>
          <w:lang w:val="en-US" w:eastAsia="zh-CN"/>
        </w:rPr>
        <w:t>12</w:t>
      </w:r>
      <w:r>
        <w:rPr>
          <w:rFonts w:ascii="楷体_GB2312" w:eastAsia="楷体_GB2312" w:cs="楷体_GB2312" w:hint="eastAsia"/>
          <w:color w:val="000000"/>
          <w:spacing w:val="-11"/>
          <w:kern w:val="0"/>
          <w:sz w:val="31"/>
          <w:szCs w:val="31"/>
          <w:lang w:val="en-US" w:eastAsia="zh-CN"/>
        </w:rPr>
        <w:t>月</w:t>
      </w:r>
      <w:r>
        <w:rPr>
          <w:rFonts w:ascii="楷体_GB2312" w:eastAsia="楷体_GB2312" w:cs="Times New Roman" w:hint="eastAsia"/>
          <w:color w:val="000000"/>
          <w:spacing w:val="-11"/>
          <w:kern w:val="0"/>
          <w:sz w:val="31"/>
          <w:szCs w:val="31"/>
          <w:lang w:val="en-US" w:eastAsia="zh-CN"/>
        </w:rPr>
        <w:t>26</w:t>
      </w:r>
      <w:r>
        <w:rPr>
          <w:rFonts w:ascii="楷体_GB2312" w:eastAsia="楷体_GB2312" w:cs="楷体_GB2312" w:hint="eastAsia"/>
          <w:color w:val="000000"/>
          <w:spacing w:val="-11"/>
          <w:kern w:val="0"/>
          <w:sz w:val="31"/>
          <w:szCs w:val="31"/>
          <w:lang w:val="en-US" w:eastAsia="zh-CN"/>
        </w:rPr>
        <w:t>日在铁山区第十一届人民代表大会第</w:t>
      </w:r>
      <w:r>
        <w:rPr>
          <w:rFonts w:ascii="楷体_GB2312" w:eastAsia="楷体_GB2312" w:cs="楷体_GB2312"/>
          <w:color w:val="000000"/>
          <w:spacing w:val="-11"/>
          <w:kern w:val="0"/>
          <w:sz w:val="31"/>
          <w:szCs w:val="31"/>
          <w:lang w:val="en-US" w:eastAsia="zh-CN"/>
        </w:rPr>
        <w:t>五</w:t>
      </w:r>
      <w:r>
        <w:rPr>
          <w:rFonts w:ascii="楷体_GB2312" w:eastAsia="楷体_GB2312" w:cs="楷体_GB2312" w:hint="eastAsia"/>
          <w:color w:val="000000"/>
          <w:spacing w:val="-11"/>
          <w:kern w:val="0"/>
          <w:sz w:val="31"/>
          <w:szCs w:val="31"/>
          <w:lang w:val="en-US" w:eastAsia="zh-CN"/>
        </w:rPr>
        <w:t>次会议上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楷体_GB2312" w:eastAsia="楷体_GB2312" w:cs="楷体_GB2312" w:hint="eastAsia"/>
          <w:color w:val="000000"/>
          <w:kern w:val="0"/>
          <w:sz w:val="32"/>
          <w:szCs w:val="32"/>
          <w:lang w:val="en-US" w:eastAsia="zh-CN"/>
        </w:rPr>
        <w:t>区财政局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 w:firstLine="0"/>
        <w:jc w:val="center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lang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 w:cs="仿宋_GB2312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sz w:val="32"/>
          <w:szCs w:val="32"/>
          <w:shd w:val="clear" w:color="auto" w:fill="auto"/>
          <w:highlight w:val="auto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受区政府委托，现将2025年全区财政预算执行情况和2026年财政预算（草案）提请大会审议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，并请区政协委员和列席人员提出意见。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2025年是“十四五”收官之年。在党工委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区委、管委会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区政府的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坚强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领导和区人大、区政协的监督指导下，区财政部门坚持以习近平新时代中国特色社会主义思想为指导，全面贯彻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党的二十大和二十届历次全会精神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积极应对基层财政紧运行、紧平衡矛盾，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紧紧围绕“稳增长、促改革、调结构、惠民生、防风险”的工作主线，严格落实厉行节约要求，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不断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深化财政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科学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管理改革，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深入推进大财政体系建设，切实防范化解债务风险，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财政预算执行总体平稳，零基预算改革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稳步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开局，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“三保”支出优先保障，奋力促进全区经济社会稳健发展。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黑体" w:eastAsia="黑体" w:cs="黑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黑体" w:eastAsia="黑体" w:cs="黑体" w:hint="eastAsia"/>
          <w:b w:val="0"/>
          <w:bCs w:val="0"/>
          <w:sz w:val="32"/>
          <w:szCs w:val="32"/>
          <w:shd w:val="clear" w:color="auto" w:fill="auto"/>
          <w:highlight w:val="auto"/>
        </w:rPr>
        <w:t>一、2025年财政预算执行情况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2025年全区预算执行呈现“收入稳增、支出优化、管理提质、风险可控”的良好态势。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（一）一般公共预算收支执行情况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前11个月，全区一般公共预算收入完成1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72866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万元（含契税数），为调整预算1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81700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95.14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%，较上年同期增长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9.92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%。其中，税收收入完成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117555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万元，为调整预算1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24500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万元的9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4.42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%，较上年同期增长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12.07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%；非税收入完成5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5311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万元，为调整预算5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7200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万元的9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6.69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%，较上年同期增长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5.61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%。前11个月，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全区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一般公共预算支出16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1027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万元，为调整预算2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02996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万元的7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9.3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%，较上年同期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减少4.7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预计全年，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全区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一般公共预算收入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181700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为调整预算181700万元的100%，较上年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66279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增长9.27%。预计一般公共预算收入（金库数）173100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加上上级补助收入48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315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待偿债再融资一般债券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上年结余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3800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万元、调入资金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35143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万元、债务转贷收入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15409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总量为275767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预计全年，安排一般公共预算支出2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01496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为调整预算202996万元的99.26%，与上年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01675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基本持平。加上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上解支出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39270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万元、债务还本支出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14154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结转下年20847万元，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总量为275767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收支相抵实现平衡。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一年来，支出结构持续优化，民生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重点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领域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保障有力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充分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践行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“以人民为中心”的发展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理念。其中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：教育支出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预计为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万元，较上年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39603万元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8.7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%，重点支持学校建设和教育均衡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发展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；社会保障和就业支出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预计为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483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万元，较上年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20892万元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2.8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%，切实兜牢困难群众基本生活底线；卫生健康支出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预计为8105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万元，较上年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7173万元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持续夯实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基本公共卫生服务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体系建设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；节能环保支出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预计为9123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万元，较上年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4110万元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122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深入推进了大气、水、土壤等污染防治和生态修复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；农林水支出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预计为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148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万元，较上年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 xml:space="preserve"> 13993万元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1.1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%，为乡村振兴提供坚实支撑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民生类支出占一般公共预算支出比重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达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以上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（二）政府性基金预算收支执行情况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前11个月，全区政府性基金预算收入完成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7915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调整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预算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48475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16.3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%，较上年同期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23737万元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减少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66.6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%。前11个月，全区政府性基金预算支出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133764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调整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预算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214992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62.2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%，较上年同期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36632万元增长265.2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预计全年，全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政府性基金预算收入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48475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为调整预算48475的100%，较上年71896万元减少32.58%。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加上上级补助收入28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253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（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含超长期特别国债28182万元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）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、上年结余结转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5072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万元、债务转贷收入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104985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万元、调入资金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28207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总量为214992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预计全年，安排政府性基金预算支出1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99792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为调整预算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99792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的100%，较上年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73719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增长15%。加上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债务还本支出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15200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总量为214992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收支相抵实现平衡。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（三）社会保险基金预算收支执行情况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预计2025年全区社会保险基金预算收支总体平稳：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开发区机关事业单位养老保险基金收入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9295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万元，支出8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559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万元，当年结余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736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万元，滚存结余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1426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铁山区机关事业单位养老保险基金收入4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460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万元，支出43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万元，当年结余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126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万元，滚存结余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723万元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铁山区城乡居民养老保险基金收入2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86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万元，支出1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万元，当年结余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122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万元，滚存结余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682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（四）政府债务限额和债券资金使用情况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政府债务限额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及余额情况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：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市级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财政暂未下达我区2025年新增政府债务限额。预计2025年末，我区政府债务余额为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976617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其中：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一般债务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219553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万元，专项债务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757064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债券资金使用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情况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：2025年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已取得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政府债券资金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122974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；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其中：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已下达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新增债券资金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96497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中，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一般债券4712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，专项债券91785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严格按照省财政厅项目审核情况安排使用；已下达的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再融资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（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置换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）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债券资金26477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中，一般债券11277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，专项债券15200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，用于偿还到期政府债券本金以及置换存量隐性债务。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（五）2025年财政重点工作推进情况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2025年，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财政部门认真贯彻落实各级党委、政府决策部署，落实人大预算决议，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紧扣财政科学管理改革和“过紧日子”核心要求，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全力维护经济发展和社会稳定大局。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聚焦“稳增长”，财源培育提质增效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一是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狠抓收入组织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强化税源监测，紧盯重点企业、重大项目税源变化，确保应收尽收。全年预计完成一般公共预算收入1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8.17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亿元，增长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9.3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二是强化税源培植。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做好重点税源企业服务，合力解决企业难点堵点问题，亿元纳税企业突破5家，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并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成功培育首家2亿元级龙头企业。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三是盘活“三资”资源。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建立“三资”盘活协调机制，通过“用、售、租、融”等形式清查盘活国有资产，完成六类资源和五类存量国有资产全面清查，办理不动产权证393个，高效运营国有资源，广告位经营权管理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铁山废石堆利用、太子土地开发等项目成效显著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形成上报国有“三资”盘活典型案例6个，预计全年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实现水库经营权等资产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资源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处置收入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近10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亿元。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四是积极向上争取。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抢抓政策机遇争取上级资金，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全年争取各类债券资金和转移补助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近20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亿元，有效缓解财政运行压力。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聚焦“优支出”，保障重点精准有力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一是落实惠企政策。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前11个月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，8.78万户次纳税人享受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了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税费优惠16.4亿元，兑付高质量发展专项资金3573万元支持企业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产业升级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二是保障民生福祉。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持续保障基本民生，教育、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社会保障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卫生健康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等重点民生领域投入稳步增长，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全年预计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发放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各项困难群众救助资金6238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三是支持重点领域。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统筹乡村振兴资金3750万元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支持“三农”建设和城乡融合发展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，安排科学技术支出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1亿元、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设立5亿元产业引导基金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争取超长期国债1.66亿元支持技术攻关和产业转型升级，用好用活置换债券政策、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统筹专项债券资金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9亿元支持城市更新以及PPP付费等重大项目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四是厉行节约要求。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严格落实《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党政机关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厉行节约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反对浪费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条例》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要求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，严控一般性支出和“三公”经费，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预计全年“三公”经费执行较上年同口径减少3.9%，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政府投资项目评审金额3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1480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万元，审减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率13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%，有效节约财政成本。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聚焦“防风险”，财政运行安全稳健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一是兜牢“三保”底线。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始终将“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三保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”作为财政工作首要政治任务和底线要求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建立工资发放预警和应急机制，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优先保障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工资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发放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建立“三保”预算审查、动态监控、资金调度全链条保障机制，将“三保”支出放在财政支出首要位置。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二是化解债务风险。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完善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防范化解地方债务风险1+N实施方案，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防范控制债务风险水平，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提前完成铁山区隐性债务清零，铁山投资公司退出平台，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全域隐性债务出清任务提前三年完成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三是强化财政监督。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严肃财经纪律，组织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开展全区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财务管理突出问题专项整治，发现问题239个，追回资金41.2万元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推动部门单位完善制度，切实规范财务管理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；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常态化开展财会监督，聚焦增发国债资金、地方政府债务等重点领域，筑牢资金安全防线。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聚焦“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促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改革”，财政治理效能提升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一是推进零基预算改革。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制定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出台《开发区・铁山区推进零基预算改革实施方案（试行）》，从2026年预算编制起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在全区试行以重大决策为依据、以预算绩效为导向、以当年财力为基础的零基预算改革，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坚持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“以零为基、以事定钱、以效促用”原则，构建应保必保、有保有压的预算安排机制。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二是深化绩效管理。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构建“事前、事中、事后”全过程绩效管理链条，实现预算项目绩效目标管理和绩效监控全覆盖，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在全面开展绩效自评基础上，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对9个重点项目开展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事后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财政重点评价。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三是完善国资管理。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完成六类资源和五类存量国有资产全面清查，建立国有资产管理系统常态化监管机制；印发《区属国有企业负责人薪酬管理暂行办法》，向经开产投公司注入注册资本金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3.3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亿元，支持国企市场化转型。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四是推进财金联动。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加大“政采贷”宣传力度，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推进营商环境优化，全年完成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政采贷融资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笔，融资金额1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516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万元，较上年增长3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5.6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%；设立5亿元产业引导基金，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支持重大产业项目，已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投资捷蒽迪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项目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“十四五”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以来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，区财政部门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紧紧围绕全区发展大局，坚持稳中求进工作总基调，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财政改革发展工作也取得了新的进展。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一是综合财力明显增强。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五年来，我们以战略定力应对复杂局面，财政收入实现历史性突破。在实施大规模减税降费政策情况下，一般公共预算收入从“十三五”末的8.5亿元跃升至18</w:t>
      </w:r>
      <w:r>
        <w:rPr>
          <w:rFonts w:ascii="仿宋_GB2312" w:eastAsia="仿宋_GB2312" w:cs="仿宋_GB2312"/>
          <w:sz w:val="32"/>
          <w:szCs w:val="32"/>
          <w:shd w:val="clear" w:color="auto" w:fill="auto"/>
          <w:lang w:val="en-US" w:eastAsia="zh-CN"/>
          <w:highlight w:val="auto"/>
        </w:rPr>
        <w:t>.2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亿元，收入总量预计突破72亿元，是“十三五”的1.6倍，在区域发展格局中展现了强劲竞争力。税源培育取得突破性成果，亿元纳税企业由1家增长至5家，并产生首家2亿元级龙头企业。我们坚持试点探路、典型引领，成功争取省级资金支持并打造2个美丽乡村示范点和1个示范片，近五年累计争取各类资金超过125亿元，为高质量发展注入了活水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二是民生保障更加有力。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五年来，我们坚持以人民为中心的发展思想，经受住世纪疫情的严重冲击，财政支出保持较高强度，一般公共预算累计支出105亿元，是“十三五”的1.42倍，重点领域支出得到有效保障，基本公共服务均等化和补短板建设不断完善，坚持民生投入只增不减，民生支出占总支出比重平均在70%以上，“民生财政”底色更加鲜明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三是减税降费力度空前。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坚持算政治账、长远账，制度性安排和阶段性政策并举、普惠性减税和结构性减税并重，累计减税降费近120亿元，在减轻企业负担、激发创新活力、优化经济结构、促进居民消费、扩大就业等方面发挥了重要作用，有效促进市场主体和实体经济发展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四是风险管控更加有效。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精准把握稳投资与防风险的动态平衡，坚持“开前门、堵后门、优结构、降成本”的治理思路，对地方政府债务实施全链条闭环管理。坚持法定债务的限额控制与预算约束，遏制增量、化解存量，推动债务结构持续优化、融资成本稳步下降，提前三年完成全域隐性债务清零任务，</w:t>
      </w:r>
      <w:r>
        <w:rPr>
          <w:rFonts w:ascii="仿宋_GB2312" w:eastAsia="仿宋_GB2312" w:cs="仿宋_GB2312"/>
          <w:sz w:val="32"/>
          <w:szCs w:val="32"/>
          <w:shd w:val="clear" w:color="auto" w:fill="auto"/>
          <w:lang w:val="en-US" w:eastAsia="zh-CN"/>
          <w:highlight w:val="auto"/>
        </w:rPr>
        <w:t>区属国有企业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顺利实现退平台。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五是财政改革纵深推进。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预算管理一体化建设持续推进，现代信息技术条件下“制度+技术”的管理机制日臻完善；财政科学管理改革全面实施，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零基预算改革破冰起航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确立“破基数、清政策、促统筹、保重点、提绩效”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改革方向，构建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应保尽保、有保有压、统筹有力、讲求绩效的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预算安排机制。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因工作成效突出，五年来，区财政局先后获2021年市级“向上争取资金成效显著”“脱贫攻坚”集体嘉奖，2024年市级“打造武汉都市圈重要增长极先进集体”，2024、2025年“全国政府采购先进监管单位”等荣誉。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在肯定成绩的同时，我们也清醒认识到财政运行中面临的困难和挑战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主要是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：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收支矛盾依然突出。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经济下行压力下地方税收增长乏力，可用财力不足，而教育、医疗、养老等民生支出刚性增长，重大项目建设和债务还本付息压力较大，财政紧平衡特征持续凸显。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财源结构有待优化。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税收收入占比仍需提升，新兴产业税源培育尚需时日，依赖土地出让等收入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支撑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的局面尚未根本改变，财政可持续性面临考验。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风险防控任重道远。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隐性债务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出清后，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地方政府债务规模较大，还本付息压力持续存在。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改革落地仍有阻力。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少数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单位“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护盘子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”思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想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依然存在，政策清理和绩效评价的刚性约束尚未完全形成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项目支出专项标准体系建设还在探索，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零基预算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改革落地见效需要持续发力。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val="en-US" w:eastAsia="zh-CN"/>
          <w:highlight w:val="auto"/>
        </w:rPr>
        <w:t>过紧日子思想还需强化。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少数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单位厉行节约意识不强，财经纪律把控不严，资源统筹整合力度不足，“过紧日子”常态化机制仍需完善。我们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将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高度重视这些问题，采取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积极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措施加以解决。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黑体" w:eastAsia="黑体" w:cs="黑体" w:hint="eastAsia"/>
          <w:sz w:val="32"/>
          <w:szCs w:val="32"/>
          <w:shd w:val="clear" w:color="auto" w:fill="auto"/>
          <w:highlight w:val="auto"/>
        </w:rPr>
      </w:pPr>
      <w:r>
        <w:rPr>
          <w:rFonts w:ascii="黑体" w:eastAsia="黑体" w:cs="黑体" w:hint="eastAsia"/>
          <w:sz w:val="32"/>
          <w:szCs w:val="32"/>
          <w:shd w:val="clear" w:color="auto" w:fill="auto"/>
          <w:lang w:val="en-US" w:eastAsia="zh-CN"/>
          <w:highlight w:val="auto"/>
        </w:rPr>
        <w:t>二</w:t>
      </w:r>
      <w:r>
        <w:rPr>
          <w:rFonts w:ascii="黑体" w:eastAsia="黑体" w:cs="黑体" w:hint="eastAsia"/>
          <w:sz w:val="32"/>
          <w:szCs w:val="32"/>
          <w:shd w:val="clear" w:color="auto" w:fill="auto"/>
          <w:highlight w:val="auto"/>
        </w:rPr>
        <w:t>、2026年财政预算（草案）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2026年预算编制严格遵循《开发区・铁山区推进零基预算改革实施方案（试行）》要求，紧紧围绕全区中心工作，牢固树立过“紧日子”思想，着力提升财政资源配置效率和资金使用效益。预算编制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原则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是：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以零为基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打破“基数+增长”模式，所有支出从零评估必要性与合理性，取消历史支出基数依赖。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以事定钱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按工作任务轻重缓急和财力承载能力确定预算，建立“先谋事、再排钱”决策流程。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统筹兼顾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优先保障“三保”支出、重大战略实施和应急需求，统筹各类资金形成保障合力。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以效促用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绩效理念贯穿预算全流程，实现“花钱必问效、无效须问责”。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highlight w:val="auto"/>
        </w:rPr>
        <w:t>收支平衡</w:t>
      </w:r>
      <w:r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坚持量入为出、以收定支，确保各项预算收支平衡。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</w:t>
      </w: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lang w:val="en-US" w:eastAsia="zh-CN"/>
          <w:highlight w:val="auto"/>
        </w:rPr>
        <w:t>一</w:t>
      </w: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）一般公共预算安排情况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2026年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计划完成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一般公共预算收入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91600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179000万元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增长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%。其中，税收收入1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46600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万元，增长1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3.6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%；非税收入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45000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万元，下降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预计一般公共预算收入（金库数）183200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加上上级补助收入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44393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万元、调入资金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13915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万元、债务转贷收入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16559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总量为258067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安排一般公共预算支出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192256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比2025年201496万元减少4.6%。加上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上解支出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46727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万元、债务还本支出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19084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总量为258067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收支相抵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实现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支出项目具体情况是：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一般公共服务支出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26250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26963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减少2.6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主要是安排机关运行等支出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.国防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118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155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减少23.6%，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是安排国防动员等支出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公共安全支出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2076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2195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减少5.4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安排公检法司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等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协管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教育支出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48864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43079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增长13.4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教育事业发展支出。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科学技术支出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14033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11232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增长24.9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是安排产业发展和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科技奖励等支出。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文化旅游体育与传媒支出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1013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1823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减少44.4%，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文化、体育、传媒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等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事业支出。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社会保障与就业支出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20543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21483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减少4.4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城乡居民社会保险、就业和社会救济等支出。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8.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卫生健康支出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10105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8105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增长24.6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基本公共卫生服务等支出。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节能环保支出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5411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9123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减少40.6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污染防治等支出。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城乡社区支出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24542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17654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增长39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城乡环境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卫生及基础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设施建设等支出。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11.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农林水支出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11922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14149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减少15.7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农林水事务及乡村振兴等支出。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交通运输支出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1298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减少99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村村通补贴支出。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资源勘探信息等支出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2896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30020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减少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90.3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支持企业发展支出。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自然资源海洋气象等支出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2001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1640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增长22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是安排自然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资源管理、地质灾害防治等支出。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5.住房保障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6089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4309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增长41.3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是安排安置房源采购和购房补贴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 xml:space="preserve">支出。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灾害防治及应急管理支出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2889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比2025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1781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增长62.2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安全生产管理等支出。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预备费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4000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8.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其他支出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3000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增资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和支持镇域经济发展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等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债务付息支出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6450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政府一般债券付息支出。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20.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债务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发行费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万元，主要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政府一般债券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发行费支出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</w:t>
      </w: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lang w:val="en-US" w:eastAsia="zh-CN"/>
          <w:highlight w:val="auto"/>
        </w:rPr>
        <w:t>二</w:t>
      </w: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）政府性基金预算安排情况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2026年计划完成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政府性基金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预算收入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43300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万元，比2025年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48475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减少10.6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%。加上上级补助收入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上年结余14300万元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、债务转贷收入1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7865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调入资金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58535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万元，收入总量为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134100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万元。安排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政府性基金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预算支出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108235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万元，比2025年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199792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减少45.8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%。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加上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债务还本支出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25865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总量为134100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收支相抵实现平衡。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</w:t>
      </w: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lang w:val="en-US" w:eastAsia="zh-CN"/>
          <w:highlight w:val="auto"/>
        </w:rPr>
        <w:t>三</w:t>
      </w: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）社会保险基金预算安排情况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开发区机关事业单位养老保险：总收入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9320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万元，总支出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9211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万元，当期结余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109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万元，年末滚存结余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1535万元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铁山区机关事业单位养老保险：总收入4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044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万元，总支出4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021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万元，当期结余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万元，年末滚存结余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746万元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铁山区城乡居民养老保险：总收入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231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万元，总支出1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7万元，当期结余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万元，年末滚存结余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73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</w:t>
      </w: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lang w:val="en-US" w:eastAsia="zh-CN"/>
          <w:highlight w:val="auto"/>
        </w:rPr>
        <w:t>四</w:t>
      </w: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）政府债务还本付息安排情况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2026年需偿还政府债务本金支出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44949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万元（一般债务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19084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万元、专项债务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25865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万元）；债务利息支出2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7929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万元（一般债务6450万元、专项债务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21479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万元）。分别纳入一般公共预算和政府性基金预算保障，严格按零基预算“保重点”要求优先足额安排。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黑体" w:eastAsia="黑体" w:cs="黑体" w:hint="eastAsia"/>
          <w:sz w:val="32"/>
          <w:szCs w:val="32"/>
          <w:shd w:val="clear" w:color="auto" w:fill="auto"/>
          <w:highlight w:val="auto"/>
        </w:rPr>
      </w:pPr>
      <w:r>
        <w:rPr>
          <w:rFonts w:ascii="黑体" w:eastAsia="黑体" w:cs="黑体" w:hint="eastAsia"/>
          <w:sz w:val="32"/>
          <w:szCs w:val="32"/>
          <w:shd w:val="clear" w:color="auto" w:fill="auto"/>
          <w:lang w:val="en-US" w:eastAsia="zh-CN"/>
          <w:highlight w:val="auto"/>
        </w:rPr>
        <w:t>三</w:t>
      </w:r>
      <w:r>
        <w:rPr>
          <w:rFonts w:ascii="黑体" w:eastAsia="黑体" w:cs="黑体" w:hint="eastAsia"/>
          <w:sz w:val="32"/>
          <w:szCs w:val="32"/>
          <w:shd w:val="clear" w:color="auto" w:fill="auto"/>
          <w:highlight w:val="auto"/>
        </w:rPr>
        <w:t>、</w:t>
      </w:r>
      <w:r>
        <w:rPr>
          <w:rFonts w:ascii="黑体" w:eastAsia="黑体" w:cs="黑体" w:hint="eastAsia"/>
          <w:sz w:val="32"/>
          <w:szCs w:val="32"/>
          <w:shd w:val="clear" w:color="auto" w:fill="auto"/>
          <w:lang w:val="en-US" w:eastAsia="zh-CN"/>
          <w:highlight w:val="auto"/>
        </w:rPr>
        <w:t>扎实做好</w:t>
      </w:r>
      <w:r>
        <w:rPr>
          <w:rFonts w:ascii="黑体" w:eastAsia="黑体" w:cs="黑体" w:hint="eastAsia"/>
          <w:sz w:val="32"/>
          <w:szCs w:val="32"/>
          <w:shd w:val="clear" w:color="auto" w:fill="auto"/>
          <w:highlight w:val="auto"/>
        </w:rPr>
        <w:t>2026年财政工作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是“十五五”开局之年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，区财政部门将以零基预算改革为抓手，以“增收、节支、防风险、促改革”为主线，重点做好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以下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（一）一以贯之保“三保”，筑牢民生保障底线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坚持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支出优先顺序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始终将“三保”支出放在预算首位，足额保障工资发放，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完善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“三保”动态监控机制。强化库款调度管理，加强库款运行监测预警，合理调度资金，确保财政资金链安全。稳步提升民生保障水平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持续加大教育、医疗、养老、就业等领域投入，切实保障困难群众基本生活。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（二）持续加力盘“三资”，壮大财政收入规模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健全长效盘活机制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压实部门主体责任，持续清查六类国有资源、五类国有资产和两类存量资金，建立动态管理台账。拓宽市场化盘活渠道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积极探索资产证券化、资金杠杆化路径，推进闲置土地、房产市场化处置，将存量资产转化为现金流。强化资产规范管理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加强国有资产管理业务培训，规范资产处置行为，建立常态化监管机制，防止国有资产流失。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（三）精准有效促发展，增强经济内生动力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培育优质财源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聚焦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光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电子信息、智能制造等主导产业，优化产业扶持资金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产业引导基金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投向，支持龙头企业发展，带动产业链税源增长；培育新兴产业，加快形成新的税收增长点。落实惠企政策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持续推行减税降费，推广“政采贷”等普惠金融服务，助力中小微企业发展；优化政府采购流程，提高中小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微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企业参与度。积极向上争取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精准对接国家、省级政策导向，围绕乡村振兴、基础设施、生态环保等领域，谋划储备高质量项目，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提升争取实效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（四）从严从实强监管，提升资金使用效益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深化预算绩效管理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健全“全方位、全过程、全覆盖”绩效体系，做到“花钱必问效、无效必问责”。严控债务风险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健全隐性债务动态监测机制，坚决遏制新增隐性债务；巩固铁山区隐性债务清零成果，防范债务反弹；支持平台公司市场化转型，完善考核机制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提升自主“造血”能力；规范专项债券“借用管还”全生命周期管理，提高债券资金效益。严肃财经纪律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常态化开展财经秩序监督检查，全年组织专项检查不少于4次，重点查处违规使用资金、违反“三公”经费管理等行为，公开曝光典型案例；将零基预算改革实施情况纳入年度审计和专项督查重点，对虚列项目、套取资金等问题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</w:pPr>
      <w:r>
        <w:rPr>
          <w:rFonts w:ascii="楷体" w:eastAsia="楷体" w:cs="楷体" w:hint="eastAsia"/>
          <w:b w:val="0"/>
          <w:bCs w:val="0"/>
          <w:sz w:val="32"/>
          <w:szCs w:val="32"/>
          <w:shd w:val="clear" w:color="auto" w:fill="auto"/>
          <w:highlight w:val="auto"/>
        </w:rPr>
        <w:t>（五）深化改革促创新，提升财政治理效能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全面推行零基预算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打破支出基数依赖，按“以零为基、以事定钱”原则编制预算，基本支出实行定员定额管理，项目支出按分类优先级保障，坚决压减非必要、非急需支出。完善项目储备库动态管理，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实施以项目为载体的支出政策全过程管控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，提高预算编制科学性。推进财政一体化管理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深化预算管理一体化系统应用，推动财政与部门间数据共享、业务协同，实现预算编制、执行、监督全链条闭环管理。加强队伍建设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。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强化政治建设，坚持“以政领财、以财辅政”；加强业务培训，提升干部预算管理、绩效评价、风险防控能力；健全激励机制，激发队伍活力，打造忠诚干净担当的财政队伍。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各位代表，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干字当头、惟有奋斗。新的一年，区财政部门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将在党工委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区委、管委会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区政府的坚强领导下，自觉接受区人大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eastAsia="zh-CN"/>
          <w:highlight w:val="auto"/>
        </w:rPr>
        <w:t>、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区政协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监督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指导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，锚定目标、坚定信心，锐意进取、开拓创新，为建成千亿园区，奋进全国园区五十强，当好武汉都市圈重要增长极排头兵，争创国家新兴产业发展示范园区，服务推动全省支点建设，不断开创中国式现代化开发区·铁山区篇章新局面作出</w:t>
      </w:r>
      <w:r>
        <w:rPr>
          <w:rFonts w:ascii="仿宋_GB2312" w:eastAsia="仿宋_GB2312" w:cs="仿宋_GB2312"/>
          <w:sz w:val="32"/>
          <w:szCs w:val="32"/>
          <w:shd w:val="clear" w:color="auto" w:fill="auto"/>
          <w:highlight w:val="auto"/>
        </w:rPr>
        <w:t>财政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更大贡献！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0" w:firstLine="0"/>
        <w:textAlignment w:val="auto"/>
        <w:rPr>
          <w:rFonts w:hint="eastAsia"/>
          <w:shd w:val="clear" w:color="auto" w:fill="auto"/>
          <w:highlight w:val="auto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0" w:firstLine="0"/>
        <w:textAlignment w:val="auto"/>
        <w:rPr>
          <w:rFonts w:hint="eastAsia"/>
          <w:shd w:val="clear" w:color="auto" w:fill="auto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1.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2026年开发区・铁山区一般公共预算收入预算表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2026年开发区・铁山区一般公共预算支出预算表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3.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2026年开发区・铁山区一般公共预算收支平衡表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4.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2026年开发区・铁山区政府性基金预算收支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总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5.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2026年社会保险基金收支预算总表（开发区）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outlineLvl w:val="9"/>
        <w:rPr>
          <w:rFonts w:ascii="宋体" w:eastAsia="宋体" w:cs="宋体" w:hint="eastAsia"/>
          <w:sz w:val="32"/>
          <w:szCs w:val="32"/>
          <w:shd w:val="clear" w:color="auto" w:fill="auto"/>
          <w:highlight w:val="auto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auto"/>
          <w:lang w:val="en-US" w:eastAsia="zh-CN"/>
          <w:highlight w:val="auto"/>
        </w:rPr>
        <w:t>6.</w:t>
      </w:r>
      <w:r>
        <w:rPr>
          <w:rFonts w:ascii="仿宋_GB2312" w:eastAsia="仿宋_GB2312" w:cs="仿宋_GB2312" w:hint="eastAsia"/>
          <w:sz w:val="32"/>
          <w:szCs w:val="32"/>
          <w:shd w:val="clear" w:color="auto" w:fill="auto"/>
          <w:highlight w:val="auto"/>
        </w:rPr>
        <w:t>2026年社会保险基金收支预算总表（铁山区）</w:t>
      </w:r>
    </w:p>
    <w:sectPr>
      <w:footerReference w:type="default" r:id="rId2"/>
      <w:pgSz w:w="11906" w:h="16838"/>
      <w:pgMar w:top="2098" w:right="1474" w:bottom="1984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楷体">
    <w:altName w:val="楷体_GB2312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-91439</wp:posOffset>
              </wp:positionV>
              <wp:extent cx="7112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11200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-0.037124068pt;margin-top:-7.1999636pt;width:56.00003pt;height:18.130003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jMzMTc1OGM5YmYzMmZhZGFlMjY0ODk5YTQxNWQyNT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Indent"/>
    <w:basedOn w:val="0"/>
    <w:pPr>
      <w:ind w:firstLineChars="200" w:firstLine="200"/>
    </w:pPr>
  </w:style>
  <w:style w:type="paragraph" w:styleId="16">
    <w:name w:val="Body Text Indent"/>
    <w:basedOn w:val="0"/>
    <w:pPr>
      <w:ind w:firstLineChars="200" w:firstLine="200"/>
    </w:pPr>
    <w:rPr>
      <w:rFonts w:ascii="黑体" w:eastAsia="黑体"/>
      <w:sz w:val="32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19">
    <w:name w:val="Body Text First Indent 2"/>
    <w:basedOn w:val="16"/>
    <w:pPr>
      <w:widowControl w:val="0"/>
      <w:spacing w:after="120"/>
      <w:ind w:leftChars="200" w:left="200" w:firstLineChars="200" w:firstLine="20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20">
    <w:name w:val="正文缩进 + 首行缩进:  2 字符"/>
    <w:basedOn w:val="0"/>
    <w:pPr>
      <w:ind w:firstLine="64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123</TotalTime>
  <Application>Yozo_Office27021597764231179</Application>
  <Pages>16</Pages>
  <Words>7658</Words>
  <Characters>8691</Characters>
  <Lines>334</Lines>
  <Paragraphs>85</Paragraphs>
  <CharactersWithSpaces>8693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Byron</dc:creator>
  <cp:lastModifiedBy>admin1111</cp:lastModifiedBy>
  <cp:revision>1</cp:revision>
  <cp:lastPrinted>2025-12-22T03:47:33Z</cp:lastPrinted>
  <dcterms:created xsi:type="dcterms:W3CDTF">2025-12-09T02:00:00Z</dcterms:created>
  <dcterms:modified xsi:type="dcterms:W3CDTF">2025-12-22T11:05:55Z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ICV">
    <vt:lpwstr>871454B986E94D188BE05469A69C6DE3_13</vt:lpwstr>
  </property>
  <property fmtid="{D5CDD505-2E9C-101B-9397-08002B2CF9AE}" pid="4" name="KSOTemplateDocerSaveRecord">
    <vt:lpwstr>eyJoZGlkIjoiZThjODEzOWU5YjdmM2M1Y2I4ZmU5OTc5MjcwOWJlYTEiLCJ1c2VySWQiOiIyNTc0NzY4NjkifQ==</vt:lpwstr>
  </property>
</Properties>
</file>